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jc w:val="center"/>
      </w:pPr>
      <w:r>
        <w:drawing>
          <wp:inline distT="0" distB="0" distL="0" distR="0">
            <wp:extent cx="1143000" cy="1143000"/>
            <wp:effectExtent t="0" r="0" b="0" l="0"/>
            <wp:docPr id="1" name="sage" descr="Sage logo" title="SageReas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120"/>
      </w:pPr>
    </w:p>
    <w:p>
      <w:pPr>
        <w:spacing w:after="80"/>
        <w:jc w:val="center"/>
      </w:pPr>
      <w:r>
        <w:rPr>
          <w:rFonts w:ascii="Arial" w:cs="Arial" w:eastAsia="Arial" w:hAnsi="Arial"/>
          <w:b/>
          <w:bCs/>
          <w:color w:val="4D6040"/>
          <w:sz w:val="48"/>
          <w:szCs w:val="48"/>
        </w:rPr>
        <w:t xml:space="preserve">SageReasoning</w:t>
      </w:r>
    </w:p>
    <w:p>
      <w:pPr>
        <w:spacing w:after="200"/>
        <w:jc w:val="center"/>
      </w:pPr>
      <w:r>
        <w:rPr>
          <w:rFonts w:ascii="Arial" w:cs="Arial" w:eastAsia="Arial" w:hAnsi="Arial"/>
          <w:i/>
          <w:iCs/>
          <w:color w:val="7D9468"/>
          <w:sz w:val="28"/>
          <w:szCs w:val="28"/>
        </w:rPr>
        <w:t xml:space="preserve">Onboarding UX &amp; Agent Experience (AX) Research</w:t>
      </w:r>
    </w:p>
    <w:p>
      <w:pPr>
        <w:pBdr>
          <w:bottom w:val="single" w:color="E8EDE4" w:sz="4" w:space="8"/>
        </w:pBdr>
        <w:spacing w:after="200" w:before="200"/>
      </w:pPr>
    </w:p>
    <w:p>
      <w:pPr>
        <w:spacing w:after="80"/>
        <w:jc w:val="center"/>
      </w:pPr>
      <w:r>
        <w:rPr>
          <w:rFonts w:ascii="Arial" w:cs="Arial" w:eastAsia="Arial" w:hAnsi="Arial"/>
          <w:color w:val="4A5740"/>
          <w:sz w:val="22"/>
          <w:szCs w:val="22"/>
        </w:rPr>
        <w:t xml:space="preserve">Removing barriers to entry for humans and AI agents</w:t>
      </w:r>
    </w:p>
    <w:p>
      <w:pPr>
        <w:spacing w:after="400"/>
        <w:jc w:val="center"/>
      </w:pPr>
      <w:r>
        <w:rPr>
          <w:rFonts w:ascii="Arial" w:cs="Arial" w:eastAsia="Arial" w:hAnsi="Arial"/>
          <w:color w:val="999999"/>
          <w:sz w:val="20"/>
          <w:szCs w:val="20"/>
        </w:rPr>
        <w:t xml:space="preserve">March 2026  •  Version 1.0</w:t>
      </w:r>
    </w:p>
    <w:p>
      <w:pPr>
        <w:spacing w:after="120"/>
      </w:pPr>
    </w:p>
    <w:p>
      <w:pPr>
        <w:spacing w:after="120"/>
      </w:pPr>
    </w:p>
    <w:p>
      <w:pPr>
        <w:jc w:val="center"/>
      </w:pPr>
      <w:r>
        <w:drawing>
          <wp:inline distT="0" distB="0" distL="0" distR="0">
            <wp:extent cx="952500" cy="952500"/>
            <wp:effectExtent t="0" r="0" b="0" l="0"/>
            <wp:docPr id="1" name="zeus" descr="The Perfect Sage" title="Z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52500"/>
                    </a:xfrm>
                    <a:prstGeom prst="rect">
                      <a:avLst/>
                    </a:prstGeom>
                  </pic:spPr>
                </pic:pic>
              </a:graphicData>
            </a:graphic>
          </wp:inline>
        </w:drawing>
      </w:r>
    </w:p>
    <w:p>
      <w:pPr>
        <w:spacing w:after="60"/>
        <w:jc w:val="center"/>
      </w:pPr>
      <w:r>
        <w:rPr>
          <w:rFonts w:ascii="Arial" w:cs="Arial" w:eastAsia="Arial" w:hAnsi="Arial"/>
          <w:i/>
          <w:iCs/>
          <w:color w:val="9A7C2A"/>
          <w:sz w:val="18"/>
          <w:szCs w:val="18"/>
        </w:rPr>
        <w:t xml:space="preserve">The Perfect Sage</w:t>
      </w:r>
    </w:p>
    <w:p>
      <w:r>
        <w:br w:type="page"/>
      </w:r>
    </w:p>
    <w:p>
      <w:pPr>
        <w:pStyle w:val="Heading1"/>
        <w:spacing w:after="200" w:before="360"/>
      </w:pPr>
      <w:r>
        <w:rPr>
          <w:rFonts w:ascii="Arial" w:cs="Arial" w:eastAsia="Arial" w:hAnsi="Arial"/>
          <w:b/>
          <w:bCs/>
          <w:color w:val="4D6040"/>
          <w:sz w:val="36"/>
          <w:szCs w:val="36"/>
        </w:rPr>
        <w:t xml:space="preserve">Executive Summary</w:t>
      </w:r>
    </w:p>
    <w:p>
      <w:pPr>
        <w:spacing w:after="180"/>
      </w:pPr>
      <w:r>
        <w:rPr>
          <w:rFonts w:ascii="Arial" w:cs="Arial" w:eastAsia="Arial" w:hAnsi="Arial"/>
          <w:color w:val="4A5740"/>
          <w:sz w:val="22"/>
          <w:szCs w:val="22"/>
        </w:rPr>
        <w:t xml:space="preserve">This document synthesises research from Nielsen Norman Group, Agent Experience (AX) literature, and SaaS onboarding best practices to identify friction points in the current SageReasoning onboarding flow and propose actionable improvements for both human users and AI agent consumers.</w:t>
      </w:r>
    </w:p>
    <w:p>
      <w:pPr>
        <w:spacing w:after="180"/>
      </w:pPr>
      <w:r>
        <w:rPr>
          <w:rFonts w:ascii="Arial" w:cs="Arial" w:eastAsia="Arial" w:hAnsi="Arial"/>
          <w:color w:val="4A5740"/>
          <w:sz w:val="22"/>
          <w:szCs w:val="22"/>
        </w:rPr>
        <w:t xml:space="preserve">The goal is to reduce time-to-first-value for every user type — a human scoring their first action, an AI agent loading the Stoic Brain, or a developer integrating the API — while maintaining the philosophical integrity of the product.</w:t>
      </w:r>
    </w:p>
    <w:p>
      <w:pPr>
        <w:spacing w:after="120"/>
      </w:pPr>
    </w:p>
    <w:p>
      <w:pPr>
        <w:pStyle w:val="Heading2"/>
        <w:spacing w:after="200" w:before="240"/>
      </w:pPr>
      <w:r>
        <w:rPr>
          <w:rFonts w:ascii="Arial" w:cs="Arial" w:eastAsia="Arial" w:hAnsi="Arial"/>
          <w:b/>
          <w:bCs/>
          <w:color w:val="4D6040"/>
          <w:sz w:val="30"/>
          <w:szCs w:val="30"/>
        </w:rPr>
        <w:t xml:space="preserve">Key Findings</w:t>
      </w:r>
    </w:p>
    <w:p>
      <w:pPr>
        <w:pStyle w:val="ListParagraph"/>
        <w:numPr>
          <w:ilvl w:val="0"/>
          <w:numId w:val="2"/>
        </w:numPr>
        <w:spacing w:after="80"/>
      </w:pPr>
      <w:r>
        <w:rPr>
          <w:rFonts w:ascii="Arial" w:cs="Arial" w:eastAsia="Arial" w:hAnsi="Arial"/>
          <w:b/>
          <w:bCs/>
          <w:color w:val="2E3D26"/>
          <w:sz w:val="22"/>
          <w:szCs w:val="22"/>
        </w:rPr>
        <w:t xml:space="preserve">Humans: </w:t>
      </w:r>
      <w:r>
        <w:rPr>
          <w:rFonts w:ascii="Arial" w:cs="Arial" w:eastAsia="Arial" w:hAnsi="Arial"/>
          <w:color w:val="4A5740"/>
          <w:sz w:val="22"/>
          <w:szCs w:val="22"/>
        </w:rPr>
        <w:t xml:space="preserve">The current signup-to-baseline flow has 7 friction points that research says cause abandonment. The welcome email overloads new users with information instead of driving a single next action.</w:t>
      </w:r>
    </w:p>
    <w:p>
      <w:pPr>
        <w:pStyle w:val="ListParagraph"/>
        <w:numPr>
          <w:ilvl w:val="0"/>
          <w:numId w:val="2"/>
        </w:numPr>
        <w:spacing w:after="80"/>
      </w:pPr>
      <w:r>
        <w:rPr>
          <w:rFonts w:ascii="Arial" w:cs="Arial" w:eastAsia="Arial" w:hAnsi="Arial"/>
          <w:b/>
          <w:bCs/>
          <w:color w:val="2E3D26"/>
          <w:sz w:val="22"/>
          <w:szCs w:val="22"/>
        </w:rPr>
        <w:t xml:space="preserve">AI Agents: </w:t>
      </w:r>
      <w:r>
        <w:rPr>
          <w:rFonts w:ascii="Arial" w:cs="Arial" w:eastAsia="Arial" w:hAnsi="Arial"/>
          <w:color w:val="4A5740"/>
          <w:sz w:val="22"/>
          <w:szCs w:val="22"/>
        </w:rPr>
        <w:t xml:space="preserve">SageReasoning already has a strong llms.txt and open CORS API — ahead of most competitors. The gap is in structured discovery (agents.json, OpenAPI spec) and a dedicated machine-readable onboarding path.</w:t>
      </w:r>
    </w:p>
    <w:p>
      <w:pPr>
        <w:pStyle w:val="ListParagraph"/>
        <w:numPr>
          <w:ilvl w:val="0"/>
          <w:numId w:val="2"/>
        </w:numPr>
        <w:spacing w:after="80"/>
      </w:pPr>
      <w:r>
        <w:rPr>
          <w:rFonts w:ascii="Arial" w:cs="Arial" w:eastAsia="Arial" w:hAnsi="Arial"/>
          <w:b/>
          <w:bCs/>
          <w:color w:val="2E3D26"/>
          <w:sz w:val="22"/>
          <w:szCs w:val="22"/>
        </w:rPr>
        <w:t xml:space="preserve">Developers: </w:t>
      </w:r>
      <w:r>
        <w:rPr>
          <w:rFonts w:ascii="Arial" w:cs="Arial" w:eastAsia="Arial" w:hAnsi="Arial"/>
          <w:color w:val="4A5740"/>
          <w:sz w:val="22"/>
          <w:szCs w:val="22"/>
        </w:rPr>
        <w:t xml:space="preserve">The API docs page exists but lacks quick-start copy-paste examples and SDK stubs. Research shows developers abandon APIs that take more than 5 minutes to get a first successful response.</w:t>
      </w:r>
    </w:p>
    <w:p>
      <w:r>
        <w:br w:type="page"/>
      </w:r>
    </w:p>
    <w:p>
      <w:pPr>
        <w:pStyle w:val="Heading1"/>
        <w:spacing w:after="200" w:before="360"/>
      </w:pPr>
      <w:r>
        <w:rPr>
          <w:rFonts w:ascii="Arial" w:cs="Arial" w:eastAsia="Arial" w:hAnsi="Arial"/>
          <w:b/>
          <w:bCs/>
          <w:color w:val="4D6040"/>
          <w:sz w:val="36"/>
          <w:szCs w:val="36"/>
        </w:rPr>
        <w:t xml:space="preserve">Part 1: Human Onboarding — Reducing Barriers to Entry</w:t>
      </w:r>
    </w:p>
    <w:p>
      <w:pPr>
        <w:pStyle w:val="Heading2"/>
        <w:spacing w:after="200" w:before="240"/>
      </w:pPr>
      <w:r>
        <w:rPr>
          <w:rFonts w:ascii="Arial" w:cs="Arial" w:eastAsia="Arial" w:hAnsi="Arial"/>
          <w:b/>
          <w:bCs/>
          <w:color w:val="4D6040"/>
          <w:sz w:val="30"/>
          <w:szCs w:val="30"/>
        </w:rPr>
        <w:t xml:space="preserve">1.1 Research Foundations</w:t>
      </w:r>
    </w:p>
    <w:p>
      <w:pPr>
        <w:spacing w:after="180"/>
      </w:pPr>
      <w:r>
        <w:rPr>
          <w:rFonts w:ascii="Arial" w:cs="Arial" w:eastAsia="Arial" w:hAnsi="Arial"/>
          <w:color w:val="4A5740"/>
          <w:sz w:val="22"/>
          <w:szCs w:val="22"/>
        </w:rPr>
        <w:t xml:space="preserve">The NN/G principle of “usability as barrier to entry” states that new websites must be twice as usable as existing competitors because users have zero switching cost. For SageReasoning, the competing alternative is “do nothing” — users aren’t switching from another Stoic scoring tool, they’re being asked to adopt an entirely new habit. This makes the first 60 seconds especially critical.</w:t>
      </w:r>
    </w:p>
    <w:p>
      <w:pPr>
        <w:spacing w:after="120"/>
      </w:pPr>
    </w:p>
    <w:p>
      <w:pPr>
        <w:spacing w:after="180"/>
      </w:pPr>
      <w:r>
        <w:rPr>
          <w:rFonts w:ascii="Arial" w:cs="Arial" w:eastAsia="Arial" w:hAnsi="Arial"/>
          <w:color w:val="4A5740"/>
          <w:sz w:val="22"/>
          <w:szCs w:val="22"/>
        </w:rPr>
        <w:t xml:space="preserve">Key principles from the research:</w:t>
      </w:r>
    </w:p>
    <w:p>
      <w:pPr>
        <w:pStyle w:val="ListParagraph"/>
        <w:numPr>
          <w:ilvl w:val="0"/>
          <w:numId w:val="2"/>
        </w:numPr>
        <w:spacing w:after="80"/>
      </w:pPr>
      <w:r>
        <w:rPr>
          <w:rFonts w:ascii="Arial" w:cs="Arial" w:eastAsia="Arial" w:hAnsi="Arial"/>
          <w:b/>
          <w:bCs/>
          <w:color w:val="2E3D26"/>
          <w:sz w:val="22"/>
          <w:szCs w:val="22"/>
        </w:rPr>
        <w:t xml:space="preserve">Progressive disclosure: </w:t>
      </w:r>
      <w:r>
        <w:rPr>
          <w:rFonts w:ascii="Arial" w:cs="Arial" w:eastAsia="Arial" w:hAnsi="Arial"/>
          <w:color w:val="4A5740"/>
          <w:sz w:val="22"/>
          <w:szCs w:val="22"/>
        </w:rPr>
        <w:t xml:space="preserve">Ask for the minimum upfront. Collect additional information only after the user has experienced value. Research shows this reduces task completion time by 20–40%.</w:t>
      </w:r>
    </w:p>
    <w:p>
      <w:pPr>
        <w:pStyle w:val="ListParagraph"/>
        <w:numPr>
          <w:ilvl w:val="0"/>
          <w:numId w:val="2"/>
        </w:numPr>
        <w:spacing w:after="80"/>
      </w:pPr>
      <w:r>
        <w:rPr>
          <w:rFonts w:ascii="Arial" w:cs="Arial" w:eastAsia="Arial" w:hAnsi="Arial"/>
          <w:b/>
          <w:bCs/>
          <w:color w:val="2E3D26"/>
          <w:sz w:val="22"/>
          <w:szCs w:val="22"/>
        </w:rPr>
        <w:t xml:space="preserve">Value-first onboarding: </w:t>
      </w:r>
      <w:r>
        <w:rPr>
          <w:rFonts w:ascii="Arial" w:cs="Arial" w:eastAsia="Arial" w:hAnsi="Arial"/>
          <w:color w:val="4A5740"/>
          <w:sz w:val="22"/>
          <w:szCs w:val="22"/>
        </w:rPr>
        <w:t xml:space="preserve">Get users to the core benefit (their first Stoic score) within minutes. Every screen between signup and that moment is a dropout risk.</w:t>
      </w:r>
    </w:p>
    <w:p>
      <w:pPr>
        <w:pStyle w:val="ListParagraph"/>
        <w:numPr>
          <w:ilvl w:val="0"/>
          <w:numId w:val="2"/>
        </w:numPr>
        <w:spacing w:after="80"/>
      </w:pPr>
      <w:r>
        <w:rPr>
          <w:rFonts w:ascii="Arial" w:cs="Arial" w:eastAsia="Arial" w:hAnsi="Arial"/>
          <w:b/>
          <w:bCs/>
          <w:color w:val="2E3D26"/>
          <w:sz w:val="22"/>
          <w:szCs w:val="22"/>
        </w:rPr>
        <w:t xml:space="preserve">Single CTA per step: </w:t>
      </w:r>
      <w:r>
        <w:rPr>
          <w:rFonts w:ascii="Arial" w:cs="Arial" w:eastAsia="Arial" w:hAnsi="Arial"/>
          <w:color w:val="4A5740"/>
          <w:sz w:val="22"/>
          <w:szCs w:val="22"/>
        </w:rPr>
        <w:t xml:space="preserve">Each screen and each email should drive exactly one action. Multiple options create decision fatigue.</w:t>
      </w:r>
    </w:p>
    <w:p>
      <w:pPr>
        <w:pStyle w:val="ListParagraph"/>
        <w:numPr>
          <w:ilvl w:val="0"/>
          <w:numId w:val="2"/>
        </w:numPr>
        <w:spacing w:after="80"/>
      </w:pPr>
      <w:r>
        <w:rPr>
          <w:rFonts w:ascii="Arial" w:cs="Arial" w:eastAsia="Arial" w:hAnsi="Arial"/>
          <w:b/>
          <w:bCs/>
          <w:color w:val="2E3D26"/>
          <w:sz w:val="22"/>
          <w:szCs w:val="22"/>
        </w:rPr>
        <w:t xml:space="preserve">Trust through transparency: </w:t>
      </w:r>
      <w:r>
        <w:rPr>
          <w:rFonts w:ascii="Arial" w:cs="Arial" w:eastAsia="Arial" w:hAnsi="Arial"/>
          <w:color w:val="4A5740"/>
          <w:sz w:val="22"/>
          <w:szCs w:val="22"/>
        </w:rPr>
        <w:t xml:space="preserve">Users adopt new tools faster when they understand what their data is used for and feel in control. The current privacy consent does this well.</w:t>
      </w:r>
    </w:p>
    <w:p>
      <w:pPr>
        <w:spacing w:after="120"/>
      </w:pPr>
    </w:p>
    <w:p>
      <w:pPr>
        <w:pStyle w:val="Heading2"/>
        <w:spacing w:after="200" w:before="240"/>
      </w:pPr>
      <w:r>
        <w:rPr>
          <w:rFonts w:ascii="Arial" w:cs="Arial" w:eastAsia="Arial" w:hAnsi="Arial"/>
          <w:b/>
          <w:bCs/>
          <w:color w:val="4D6040"/>
          <w:sz w:val="30"/>
          <w:szCs w:val="30"/>
        </w:rPr>
        <w:t xml:space="preserve">1.2 Current Flow Audit</w:t>
      </w:r>
    </w:p>
    <w:p>
      <w:pPr>
        <w:spacing w:after="180"/>
      </w:pPr>
      <w:r>
        <w:rPr>
          <w:rFonts w:ascii="Arial" w:cs="Arial" w:eastAsia="Arial" w:hAnsi="Arial"/>
          <w:color w:val="4A5740"/>
          <w:sz w:val="22"/>
          <w:szCs w:val="22"/>
        </w:rPr>
        <w:t xml:space="preserve">The current signup-to-value path requires these steps:</w:t>
      </w:r>
    </w:p>
    <w:p>
      <w:pPr>
        <w:pStyle w:val="ListParagraph"/>
        <w:numPr>
          <w:ilvl w:val="0"/>
          <w:numId w:val="3"/>
        </w:numPr>
        <w:spacing w:after="80"/>
      </w:pPr>
      <w:r>
        <w:rPr>
          <w:rFonts w:ascii="Arial" w:cs="Arial" w:eastAsia="Arial" w:hAnsi="Arial"/>
          <w:color w:val="4A5740"/>
          <w:sz w:val="22"/>
          <w:szCs w:val="22"/>
        </w:rPr>
        <w:t xml:space="preserve">User lands on homepage and clicks “Get Started”</w:t>
      </w:r>
    </w:p>
    <w:p>
      <w:pPr>
        <w:pStyle w:val="ListParagraph"/>
        <w:numPr>
          <w:ilvl w:val="0"/>
          <w:numId w:val="3"/>
        </w:numPr>
        <w:spacing w:after="80"/>
      </w:pPr>
      <w:r>
        <w:rPr>
          <w:rFonts w:ascii="Arial" w:cs="Arial" w:eastAsia="Arial" w:hAnsi="Arial"/>
          <w:color w:val="4A5740"/>
          <w:sz w:val="22"/>
          <w:szCs w:val="22"/>
        </w:rPr>
        <w:t xml:space="preserve">Auth page loads — user fills in display name, email, password, privacy consent</w:t>
      </w:r>
    </w:p>
    <w:p>
      <w:pPr>
        <w:pStyle w:val="ListParagraph"/>
        <w:numPr>
          <w:ilvl w:val="0"/>
          <w:numId w:val="3"/>
        </w:numPr>
        <w:spacing w:after="80"/>
      </w:pPr>
      <w:r>
        <w:rPr>
          <w:rFonts w:ascii="Arial" w:cs="Arial" w:eastAsia="Arial" w:hAnsi="Arial"/>
          <w:color w:val="4A5740"/>
          <w:sz w:val="22"/>
          <w:szCs w:val="22"/>
        </w:rPr>
        <w:t xml:space="preserve">Confirmation email sent — user must leave site and check email</w:t>
      </w:r>
    </w:p>
    <w:p>
      <w:pPr>
        <w:pStyle w:val="ListParagraph"/>
        <w:numPr>
          <w:ilvl w:val="0"/>
          <w:numId w:val="3"/>
        </w:numPr>
        <w:spacing w:after="80"/>
      </w:pPr>
      <w:r>
        <w:rPr>
          <w:rFonts w:ascii="Arial" w:cs="Arial" w:eastAsia="Arial" w:hAnsi="Arial"/>
          <w:color w:val="4A5740"/>
          <w:sz w:val="22"/>
          <w:szCs w:val="22"/>
        </w:rPr>
        <w:t xml:space="preserve">User clicks link in email — redirected back to site</w:t>
      </w:r>
    </w:p>
    <w:p>
      <w:pPr>
        <w:pStyle w:val="ListParagraph"/>
        <w:numPr>
          <w:ilvl w:val="0"/>
          <w:numId w:val="3"/>
        </w:numPr>
        <w:spacing w:after="80"/>
      </w:pPr>
      <w:r>
        <w:rPr>
          <w:rFonts w:ascii="Arial" w:cs="Arial" w:eastAsia="Arial" w:hAnsi="Arial"/>
          <w:color w:val="4A5740"/>
          <w:sz w:val="22"/>
          <w:szCs w:val="22"/>
        </w:rPr>
        <w:t xml:space="preserve">Baseline intro screen loads with explanation text — user clicks “Begin Assessment”</w:t>
      </w:r>
    </w:p>
    <w:p>
      <w:pPr>
        <w:pStyle w:val="ListParagraph"/>
        <w:numPr>
          <w:ilvl w:val="0"/>
          <w:numId w:val="3"/>
        </w:numPr>
        <w:spacing w:after="80"/>
      </w:pPr>
      <w:r>
        <w:rPr>
          <w:rFonts w:ascii="Arial" w:cs="Arial" w:eastAsia="Arial" w:hAnsi="Arial"/>
          <w:color w:val="4A5740"/>
          <w:sz w:val="22"/>
          <w:szCs w:val="22"/>
        </w:rPr>
        <w:t xml:space="preserve">5 questions answered one at a time (+ optional Q5)</w:t>
      </w:r>
    </w:p>
    <w:p>
      <w:pPr>
        <w:pStyle w:val="ListParagraph"/>
        <w:numPr>
          <w:ilvl w:val="0"/>
          <w:numId w:val="3"/>
        </w:numPr>
        <w:spacing w:after="80"/>
      </w:pPr>
      <w:r>
        <w:rPr>
          <w:rFonts w:ascii="Arial" w:cs="Arial" w:eastAsia="Arial" w:hAnsi="Arial"/>
          <w:color w:val="4A5740"/>
          <w:sz w:val="22"/>
          <w:szCs w:val="22"/>
        </w:rPr>
        <w:t xml:space="preserve">Results screen — then redirected to dashboard (empty state)</w:t>
      </w:r>
    </w:p>
    <w:p>
      <w:pPr>
        <w:spacing w:after="120"/>
      </w:pPr>
    </w:p>
    <w:p>
      <w:pPr>
        <w:spacing w:after="180"/>
      </w:pPr>
      <w:r>
        <w:rPr>
          <w:rFonts w:ascii="Arial" w:cs="Arial" w:eastAsia="Arial" w:hAnsi="Arial"/>
          <w:color w:val="4A5740"/>
          <w:sz w:val="22"/>
          <w:szCs w:val="22"/>
        </w:rPr>
        <w:t xml:space="preserve">That is 7 distinct steps and 2 context switches (leave site for email, return from email) before the user receives their first value. SaaS onboarding research recommends a maximum of 3 steps to first value.</w:t>
      </w:r>
    </w:p>
    <w:p>
      <w:pPr>
        <w:spacing w:after="120"/>
      </w:pPr>
    </w:p>
    <w:p>
      <w:pPr>
        <w:pStyle w:val="Heading2"/>
        <w:spacing w:after="200" w:before="240"/>
      </w:pPr>
      <w:r>
        <w:rPr>
          <w:rFonts w:ascii="Arial" w:cs="Arial" w:eastAsia="Arial" w:hAnsi="Arial"/>
          <w:b/>
          <w:bCs/>
          <w:color w:val="4D6040"/>
          <w:sz w:val="30"/>
          <w:szCs w:val="30"/>
        </w:rPr>
        <w:t xml:space="preserve">1.3 Friction Audit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2400"/>
        <w:gridCol w:w="960"/>
      </w:tblGrid>
      <w:tr>
        <w:tc>
          <w:tcPr>
            <w:tcW w:type="dxa" w:w="1400"/>
            <w:tcBorders>
              <w:top w:val="single" w:color="CCCCCC" w:sz="1"/>
              <w:left w:val="single" w:color="CCCCCC" w:sz="1"/>
              <w:bottom w:val="single" w:color="CCCCCC" w:sz="1"/>
              <w:right w:val="single" w:color="CCCCCC" w:sz="1"/>
            </w:tcBorders>
            <w:shd w:fill="4D6040"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2200"/>
            <w:tcBorders>
              <w:top w:val="single" w:color="CCCCCC" w:sz="1"/>
              <w:left w:val="single" w:color="CCCCCC" w:sz="1"/>
              <w:bottom w:val="single" w:color="CCCCCC" w:sz="1"/>
              <w:right w:val="single" w:color="CCCCCC" w:sz="1"/>
            </w:tcBorders>
            <w:shd w:fill="4D6040" w:val="clear"/>
            <w:tcMar>
              <w:top w:type="dxa" w:w="60"/>
              <w:left w:type="dxa" w:w="100"/>
              <w:bottom w:type="dxa" w:w="60"/>
              <w:right w:type="dxa" w:w="100"/>
            </w:tcMar>
          </w:tcPr>
          <w:p>
            <w:r>
              <w:rPr>
                <w:rFonts w:ascii="Arial" w:cs="Arial" w:eastAsia="Arial" w:hAnsi="Arial"/>
                <w:b/>
                <w:bCs/>
                <w:color w:val="FFFFFF"/>
                <w:sz w:val="18"/>
                <w:szCs w:val="18"/>
              </w:rPr>
              <w:t xml:space="preserve">Current State</w:t>
            </w:r>
          </w:p>
        </w:tc>
        <w:tc>
          <w:tcPr>
            <w:tcW w:type="dxa" w:w="2400"/>
            <w:tcBorders>
              <w:top w:val="single" w:color="CCCCCC" w:sz="1"/>
              <w:left w:val="single" w:color="CCCCCC" w:sz="1"/>
              <w:bottom w:val="single" w:color="CCCCCC" w:sz="1"/>
              <w:right w:val="single" w:color="CCCCCC" w:sz="1"/>
            </w:tcBorders>
            <w:shd w:fill="4D6040" w:val="clear"/>
            <w:tcMar>
              <w:top w:type="dxa" w:w="60"/>
              <w:left w:type="dxa" w:w="100"/>
              <w:bottom w:type="dxa" w:w="60"/>
              <w:right w:type="dxa" w:w="100"/>
            </w:tcMar>
          </w:tcPr>
          <w:p>
            <w:r>
              <w:rPr>
                <w:rFonts w:ascii="Arial" w:cs="Arial" w:eastAsia="Arial" w:hAnsi="Arial"/>
                <w:b/>
                <w:bCs/>
                <w:color w:val="FFFFFF"/>
                <w:sz w:val="18"/>
                <w:szCs w:val="18"/>
              </w:rPr>
              <w:t xml:space="preserve">Friction Issue</w:t>
            </w:r>
          </w:p>
        </w:tc>
        <w:tc>
          <w:tcPr>
            <w:tcW w:type="dxa" w:w="2400"/>
            <w:tcBorders>
              <w:top w:val="single" w:color="CCCCCC" w:sz="1"/>
              <w:left w:val="single" w:color="CCCCCC" w:sz="1"/>
              <w:bottom w:val="single" w:color="CCCCCC" w:sz="1"/>
              <w:right w:val="single" w:color="CCCCCC" w:sz="1"/>
            </w:tcBorders>
            <w:shd w:fill="4D6040" w:val="clear"/>
            <w:tcMar>
              <w:top w:type="dxa" w:w="60"/>
              <w:left w:type="dxa" w:w="100"/>
              <w:bottom w:type="dxa" w:w="60"/>
              <w:right w:type="dxa" w:w="100"/>
            </w:tcMar>
          </w:tcPr>
          <w:p>
            <w:r>
              <w:rPr>
                <w:rFonts w:ascii="Arial" w:cs="Arial" w:eastAsia="Arial" w:hAnsi="Arial"/>
                <w:b/>
                <w:bCs/>
                <w:color w:val="FFFFFF"/>
                <w:sz w:val="18"/>
                <w:szCs w:val="18"/>
              </w:rPr>
              <w:t xml:space="preserve">Recommended Fix</w:t>
            </w:r>
          </w:p>
        </w:tc>
        <w:tc>
          <w:tcPr>
            <w:tcW w:type="dxa" w:w="960"/>
            <w:tcBorders>
              <w:top w:val="single" w:color="CCCCCC" w:sz="1"/>
              <w:left w:val="single" w:color="CCCCCC" w:sz="1"/>
              <w:bottom w:val="single" w:color="CCCCCC" w:sz="1"/>
              <w:right w:val="single" w:color="CCCCCC" w:sz="1"/>
            </w:tcBorders>
            <w:shd w:fill="4D6040"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3D26"/>
                <w:sz w:val="18"/>
                <w:szCs w:val="18"/>
              </w:rPr>
              <w:t xml:space="preserve">Signup form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4 fields: name, email, password, consent checkbox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Display name is optional info collected too early. Password rules not shown until error.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Move display name to post-baseline profile step. Show password requirements inline. Keep consent.</w:t>
            </w:r>
          </w:p>
        </w:tc>
        <w:tc>
          <w:tcPr>
            <w:tcW w:type="dxa" w:w="9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jc w:val="center"/>
            </w:pPr>
            <w:r>
              <w:rPr>
                <w:rFonts w:ascii="Arial" w:cs="Arial" w:eastAsia="Arial" w:hAnsi="Arial"/>
                <w:b/>
                <w:bCs/>
                <w:color w:val="C62828"/>
                <w:sz w:val="16"/>
                <w:szCs w:val="16"/>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3D26"/>
                <w:sz w:val="18"/>
                <w:szCs w:val="18"/>
              </w:rPr>
              <w:t xml:space="preserve">Email confirm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Supabase default confirmation email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User leaves the site. Generic email lacks brand context. No clear single CTA.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Replace with branded Zeus template. Single CTA: “Confirm &amp; Begin”. Subject: 5-6 words max.</w:t>
            </w:r>
          </w:p>
        </w:tc>
        <w:tc>
          <w:tcPr>
            <w:tcW w:type="dxa" w:w="9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jc w:val="center"/>
            </w:pPr>
            <w:r>
              <w:rPr>
                <w:rFonts w:ascii="Arial" w:cs="Arial" w:eastAsia="Arial" w:hAnsi="Arial"/>
                <w:b/>
                <w:bCs/>
                <w:color w:val="C62828"/>
                <w:sz w:val="16"/>
                <w:szCs w:val="16"/>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3D26"/>
                <w:sz w:val="18"/>
                <w:szCs w:val="18"/>
              </w:rPr>
              <w:t xml:space="preserve">Welcome email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Current template has long text, 4 bullet list, quote, and CTA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Too much content for a transactional email. Research: welcome emails should have 1 CTA, minimal images, near-plain text for best delivery.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Strip to: 2-3 sentences of welcome, single CTA button, footnote only. No image-heavy blocks.</w:t>
            </w:r>
          </w:p>
        </w:tc>
        <w:tc>
          <w:tcPr>
            <w:tcW w:type="dxa" w:w="9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jc w:val="center"/>
            </w:pPr>
            <w:r>
              <w:rPr>
                <w:rFonts w:ascii="Arial" w:cs="Arial" w:eastAsia="Arial" w:hAnsi="Arial"/>
                <w:b/>
                <w:bCs/>
                <w:color w:val="C62828"/>
                <w:sz w:val="16"/>
                <w:szCs w:val="16"/>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3D26"/>
                <w:sz w:val="18"/>
                <w:szCs w:val="18"/>
              </w:rPr>
              <w:t xml:space="preserve">Baseline intro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Full explanation screen with privacy notice before questions begin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Extra click before any engagement. Users who just signed up are already committed.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Auto-advance to Q1. Show the intro text as a brief header above the first question.</w:t>
            </w:r>
          </w:p>
        </w:tc>
        <w:tc>
          <w:tcPr>
            <w:tcW w:type="dxa" w:w="9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pPr>
              <w:jc w:val="center"/>
            </w:pPr>
            <w:r>
              <w:rPr>
                <w:rFonts w:ascii="Arial" w:cs="Arial" w:eastAsia="Arial" w:hAnsi="Arial"/>
                <w:b/>
                <w:bCs/>
                <w:color w:val="9A7C2A"/>
                <w:sz w:val="16"/>
                <w:szCs w:val="16"/>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3D26"/>
                <w:sz w:val="18"/>
                <w:szCs w:val="18"/>
              </w:rPr>
              <w:t xml:space="preserve">Baseline flow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Questions 1 at a time, 4 core + optional Q5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Good progressive disclosure. Low friction.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Keep as-is. This is well designed.</w:t>
            </w:r>
          </w:p>
        </w:tc>
        <w:tc>
          <w:tcPr>
            <w:tcW w:type="dxa" w:w="960"/>
            <w:tcBorders>
              <w:top w:val="single" w:color="CCCCCC" w:sz="1"/>
              <w:left w:val="single" w:color="CCCCCC" w:sz="1"/>
              <w:bottom w:val="single" w:color="CCCCCC" w:sz="1"/>
              <w:right w:val="single" w:color="CCCCCC" w:sz="1"/>
            </w:tcBorders>
            <w:shd w:fill="E8EDE4" w:val="clear"/>
            <w:tcMar>
              <w:top w:type="dxa" w:w="60"/>
              <w:left w:type="dxa" w:w="100"/>
              <w:bottom w:type="dxa" w:w="60"/>
              <w:right w:type="dxa" w:w="100"/>
            </w:tcMar>
          </w:tcPr>
          <w:p>
            <w:pPr>
              <w:jc w:val="center"/>
            </w:pPr>
            <w:r>
              <w:rPr>
                <w:rFonts w:ascii="Arial" w:cs="Arial" w:eastAsia="Arial" w:hAnsi="Arial"/>
                <w:b/>
                <w:bCs/>
                <w:color w:val="7D9468"/>
                <w:sz w:val="16"/>
                <w:szCs w:val="16"/>
              </w:rPr>
              <w:t xml:space="preserve">LOW</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3D26"/>
                <w:sz w:val="18"/>
                <w:szCs w:val="18"/>
              </w:rPr>
              <w:t xml:space="preserve">Results page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Score + virtue breakdown + interpretation + CTA to dashboard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Good. But “Go to Dashboard” leads to empty state if user hasn’t scored an action yet.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Change CTA from “Go to Dashboard” to “Score Your First Action”. Dashboard will populate after.</w:t>
            </w:r>
          </w:p>
        </w:tc>
        <w:tc>
          <w:tcPr>
            <w:tcW w:type="dxa" w:w="9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pPr>
              <w:jc w:val="center"/>
            </w:pPr>
            <w:r>
              <w:rPr>
                <w:rFonts w:ascii="Arial" w:cs="Arial" w:eastAsia="Arial" w:hAnsi="Arial"/>
                <w:b/>
                <w:bCs/>
                <w:color w:val="9A7C2A"/>
                <w:sz w:val="16"/>
                <w:szCs w:val="16"/>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3D26"/>
                <w:sz w:val="18"/>
                <w:szCs w:val="18"/>
              </w:rPr>
              <w:t xml:space="preserve">Empty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Shows “No actions scored yet” with link to /score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Users who arrive here before scoring feel they’ve landed at a dead 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Redirect baseline results directly to /score instead of /dashboard. Dashboard becomes valuable after 1+ scores.</w:t>
            </w:r>
          </w:p>
        </w:tc>
        <w:tc>
          <w:tcPr>
            <w:tcW w:type="dxa" w:w="9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tcPr>
          <w:p>
            <w:pPr>
              <w:jc w:val="center"/>
            </w:pPr>
            <w:r>
              <w:rPr>
                <w:rFonts w:ascii="Arial" w:cs="Arial" w:eastAsia="Arial" w:hAnsi="Arial"/>
                <w:b/>
                <w:bCs/>
                <w:color w:val="9A7C2A"/>
                <w:sz w:val="16"/>
                <w:szCs w:val="16"/>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3D26"/>
                <w:sz w:val="18"/>
                <w:szCs w:val="18"/>
              </w:rPr>
              <w:t xml:space="preserve">Score page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Storage mode selection screen before first use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Another interstitial before value. User already made trust decisions at signup.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5740"/>
                <w:sz w:val="18"/>
                <w:szCs w:val="18"/>
              </w:rPr>
              <w:t xml:space="preserve">Default to cloud storage (user already consented). Show “switch to local” as a small link, not a blocking modal.</w:t>
            </w:r>
          </w:p>
        </w:tc>
        <w:tc>
          <w:tcPr>
            <w:tcW w:type="dxa" w:w="9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jc w:val="center"/>
            </w:pPr>
            <w:r>
              <w:rPr>
                <w:rFonts w:ascii="Arial" w:cs="Arial" w:eastAsia="Arial" w:hAnsi="Arial"/>
                <w:b/>
                <w:bCs/>
                <w:color w:val="C62828"/>
                <w:sz w:val="16"/>
                <w:szCs w:val="16"/>
              </w:rPr>
              <w:t xml:space="preserve">HIGH</w:t>
            </w:r>
          </w:p>
        </w:tc>
      </w:tr>
    </w:tbl>
    <w:p>
      <w:r>
        <w:br w:type="page"/>
      </w:r>
    </w:p>
    <w:p>
      <w:pPr>
        <w:pStyle w:val="Heading2"/>
        <w:spacing w:after="200" w:before="240"/>
      </w:pPr>
      <w:r>
        <w:rPr>
          <w:rFonts w:ascii="Arial" w:cs="Arial" w:eastAsia="Arial" w:hAnsi="Arial"/>
          <w:b/>
          <w:bCs/>
          <w:color w:val="4D6040"/>
          <w:sz w:val="30"/>
          <w:szCs w:val="30"/>
        </w:rPr>
        <w:t xml:space="preserve">1.4 Recommended Onboarding Flow</w:t>
      </w:r>
    </w:p>
    <w:p>
      <w:pPr>
        <w:spacing w:after="180"/>
      </w:pPr>
      <w:r>
        <w:rPr>
          <w:rFonts w:ascii="Arial" w:cs="Arial" w:eastAsia="Arial" w:hAnsi="Arial"/>
          <w:color w:val="4A5740"/>
          <w:sz w:val="22"/>
          <w:szCs w:val="22"/>
        </w:rPr>
        <w:t xml:space="preserve">Based on the research, the ideal flow reduces 7 steps to 4:</w:t>
      </w:r>
    </w:p>
    <w:p>
      <w:pPr>
        <w:spacing w:after="120"/>
      </w:pPr>
    </w:p>
    <w:p>
      <w:pPr>
        <w:pStyle w:val="ListParagraph"/>
        <w:numPr>
          <w:ilvl w:val="0"/>
          <w:numId w:val="4"/>
        </w:numPr>
        <w:spacing w:after="100"/>
      </w:pPr>
      <w:r>
        <w:rPr>
          <w:rFonts w:ascii="Arial" w:cs="Arial" w:eastAsia="Arial" w:hAnsi="Arial"/>
          <w:b/>
          <w:bCs/>
          <w:color w:val="2E3D26"/>
          <w:sz w:val="22"/>
          <w:szCs w:val="22"/>
        </w:rPr>
        <w:t xml:space="preserve">Signup: </w:t>
      </w:r>
      <w:r>
        <w:rPr>
          <w:rFonts w:ascii="Arial" w:cs="Arial" w:eastAsia="Arial" w:hAnsi="Arial"/>
          <w:color w:val="4A5740"/>
          <w:sz w:val="22"/>
          <w:szCs w:val="22"/>
        </w:rPr>
        <w:t xml:space="preserve">Email + password + consent only. Display name collected later.</w:t>
      </w:r>
    </w:p>
    <w:p>
      <w:pPr>
        <w:pStyle w:val="ListParagraph"/>
        <w:numPr>
          <w:ilvl w:val="0"/>
          <w:numId w:val="4"/>
        </w:numPr>
        <w:spacing w:after="100"/>
      </w:pPr>
      <w:r>
        <w:rPr>
          <w:rFonts w:ascii="Arial" w:cs="Arial" w:eastAsia="Arial" w:hAnsi="Arial"/>
          <w:b/>
          <w:bCs/>
          <w:color w:val="2E3D26"/>
          <w:sz w:val="22"/>
          <w:szCs w:val="22"/>
        </w:rPr>
        <w:t xml:space="preserve">Confirm email: </w:t>
      </w:r>
      <w:r>
        <w:rPr>
          <w:rFonts w:ascii="Arial" w:cs="Arial" w:eastAsia="Arial" w:hAnsi="Arial"/>
          <w:color w:val="4A5740"/>
          <w:sz w:val="22"/>
          <w:szCs w:val="22"/>
        </w:rPr>
        <w:t xml:space="preserve">Click link in branded Zeus email (subject: “Confirm your SageReasoning account”). Returns to baseline Q1 directly.</w:t>
      </w:r>
    </w:p>
    <w:p>
      <w:pPr>
        <w:pStyle w:val="ListParagraph"/>
        <w:numPr>
          <w:ilvl w:val="0"/>
          <w:numId w:val="4"/>
        </w:numPr>
        <w:spacing w:after="100"/>
      </w:pPr>
      <w:r>
        <w:rPr>
          <w:rFonts w:ascii="Arial" w:cs="Arial" w:eastAsia="Arial" w:hAnsi="Arial"/>
          <w:b/>
          <w:bCs/>
          <w:color w:val="2E3D26"/>
          <w:sz w:val="22"/>
          <w:szCs w:val="22"/>
        </w:rPr>
        <w:t xml:space="preserve">Baseline: </w:t>
      </w:r>
      <w:r>
        <w:rPr>
          <w:rFonts w:ascii="Arial" w:cs="Arial" w:eastAsia="Arial" w:hAnsi="Arial"/>
          <w:color w:val="4A5740"/>
          <w:sz w:val="22"/>
          <w:szCs w:val="22"/>
        </w:rPr>
        <w:t xml:space="preserve">5 questions flow (already well designed). Results page shows score + virtue breakdown.</w:t>
      </w:r>
    </w:p>
    <w:p>
      <w:pPr>
        <w:pStyle w:val="ListParagraph"/>
        <w:numPr>
          <w:ilvl w:val="0"/>
          <w:numId w:val="4"/>
        </w:numPr>
        <w:spacing w:after="100"/>
      </w:pPr>
      <w:r>
        <w:rPr>
          <w:rFonts w:ascii="Arial" w:cs="Arial" w:eastAsia="Arial" w:hAnsi="Arial"/>
          <w:b/>
          <w:bCs/>
          <w:color w:val="2E3D26"/>
          <w:sz w:val="22"/>
          <w:szCs w:val="22"/>
        </w:rPr>
        <w:t xml:space="preserve">First score: </w:t>
      </w:r>
      <w:r>
        <w:rPr>
          <w:rFonts w:ascii="Arial" w:cs="Arial" w:eastAsia="Arial" w:hAnsi="Arial"/>
          <w:color w:val="4A5740"/>
          <w:sz w:val="22"/>
          <w:szCs w:val="22"/>
        </w:rPr>
        <w:t xml:space="preserve">CTA from baseline results goes directly to “Score an Action”. Cloud storage is the default (user already consented). This is time-to-first-value.</w:t>
      </w:r>
    </w:p>
    <w:p>
      <w:pPr>
        <w:spacing w:after="120"/>
      </w:pPr>
    </w:p>
    <w:p>
      <w:pPr>
        <w:spacing w:after="180"/>
      </w:pPr>
      <w:r>
        <w:rPr>
          <w:rFonts w:ascii="Arial" w:cs="Arial" w:eastAsia="Arial" w:hAnsi="Arial"/>
          <w:color w:val="4A5740"/>
          <w:sz w:val="22"/>
          <w:szCs w:val="22"/>
        </w:rPr>
        <w:t xml:space="preserve">This reduces context switches from 2 to 1 (only the email confirmation requires leaving the site) and eliminates 3 interstitial screens.</w:t>
      </w:r>
    </w:p>
    <w:p>
      <w:r>
        <w:br w:type="page"/>
      </w:r>
    </w:p>
    <w:p>
      <w:pPr>
        <w:pStyle w:val="Heading2"/>
        <w:spacing w:after="200" w:before="240"/>
      </w:pPr>
      <w:r>
        <w:rPr>
          <w:rFonts w:ascii="Arial" w:cs="Arial" w:eastAsia="Arial" w:hAnsi="Arial"/>
          <w:b/>
          <w:bCs/>
          <w:color w:val="4D6040"/>
          <w:sz w:val="30"/>
          <w:szCs w:val="30"/>
        </w:rPr>
        <w:t xml:space="preserve">1.5 Welcome Email Redesign</w:t>
      </w:r>
    </w:p>
    <w:p>
      <w:pPr>
        <w:spacing w:after="180"/>
      </w:pPr>
      <w:r>
        <w:rPr>
          <w:rFonts w:ascii="Arial" w:cs="Arial" w:eastAsia="Arial" w:hAnsi="Arial"/>
          <w:color w:val="4A5740"/>
          <w:sz w:val="22"/>
          <w:szCs w:val="22"/>
        </w:rPr>
        <w:t xml:space="preserve">Research shows the most effective SaaS welcome emails share these traits: a short subject line (5–6 words), near-plain-text formatting (images often trigger spam filters and add load time), a single clear CTA, and under 100 words of body copy. The open rate target is 60%+.</w:t>
      </w:r>
    </w:p>
    <w:p>
      <w:pPr>
        <w:spacing w:after="120"/>
      </w:pPr>
    </w:p>
    <w:p>
      <w:pPr>
        <w:spacing w:after="180"/>
      </w:pPr>
      <w:r>
        <w:rPr>
          <w:rFonts w:ascii="Arial" w:cs="Arial" w:eastAsia="Arial" w:hAnsi="Arial"/>
          <w:color w:val="4A5740"/>
          <w:sz w:val="22"/>
          <w:szCs w:val="22"/>
        </w:rPr>
        <w:t xml:space="preserve">The current template includes a Marcus Aurelius quote block, a “What to expect” list, and a paragraph of context. While philosophically on-brand, this violates the research principle of a single CTA and minimal content for transactional emails.</w:t>
      </w:r>
    </w:p>
    <w:p>
      <w:pPr>
        <w:spacing w:after="120"/>
      </w:pPr>
    </w:p>
    <w:p>
      <w:pPr>
        <w:pStyle w:val="Heading3"/>
        <w:spacing w:after="200" w:before="240"/>
      </w:pPr>
      <w:r>
        <w:rPr>
          <w:rFonts w:ascii="Arial" w:cs="Arial" w:eastAsia="Arial" w:hAnsi="Arial"/>
          <w:b/>
          <w:bCs/>
          <w:color w:val="4D6040"/>
          <w:sz w:val="26"/>
          <w:szCs w:val="26"/>
        </w:rPr>
        <w:t xml:space="preserve">Recommended email structure:</w:t>
      </w:r>
    </w:p>
    <w:p>
      <w:pPr>
        <w:pStyle w:val="ListParagraph"/>
        <w:numPr>
          <w:ilvl w:val="0"/>
          <w:numId w:val="2"/>
        </w:numPr>
        <w:spacing w:after="80"/>
      </w:pPr>
      <w:r>
        <w:rPr>
          <w:rFonts w:ascii="Arial" w:cs="Arial" w:eastAsia="Arial" w:hAnsi="Arial"/>
          <w:b/>
          <w:bCs/>
          <w:color w:val="2E3D26"/>
          <w:sz w:val="22"/>
          <w:szCs w:val="22"/>
        </w:rPr>
        <w:t xml:space="preserve">Subject: </w:t>
      </w:r>
      <w:r>
        <w:rPr>
          <w:rFonts w:ascii="Arial" w:cs="Arial" w:eastAsia="Arial" w:hAnsi="Arial"/>
          <w:color w:val="4A5740"/>
          <w:sz w:val="22"/>
          <w:szCs w:val="22"/>
        </w:rPr>
        <w:t xml:space="preserve">“Your Stoic path begins” (5 words, no emoji for professional tone)</w:t>
      </w:r>
    </w:p>
    <w:p>
      <w:pPr>
        <w:pStyle w:val="ListParagraph"/>
        <w:numPr>
          <w:ilvl w:val="0"/>
          <w:numId w:val="2"/>
        </w:numPr>
        <w:spacing w:after="80"/>
      </w:pPr>
      <w:r>
        <w:rPr>
          <w:rFonts w:ascii="Arial" w:cs="Arial" w:eastAsia="Arial" w:hAnsi="Arial"/>
          <w:b/>
          <w:bCs/>
          <w:color w:val="2E3D26"/>
          <w:sz w:val="22"/>
          <w:szCs w:val="22"/>
        </w:rPr>
        <w:t xml:space="preserve">Line 1: </w:t>
      </w:r>
      <w:r>
        <w:rPr>
          <w:rFonts w:ascii="Arial" w:cs="Arial" w:eastAsia="Arial" w:hAnsi="Arial"/>
          <w:color w:val="4A5740"/>
          <w:sz w:val="22"/>
          <w:szCs w:val="22"/>
        </w:rPr>
        <w:t xml:space="preserve">Welcome to SageReasoning. Your account is confirmed.</w:t>
      </w:r>
    </w:p>
    <w:p>
      <w:pPr>
        <w:pStyle w:val="ListParagraph"/>
        <w:numPr>
          <w:ilvl w:val="0"/>
          <w:numId w:val="2"/>
        </w:numPr>
        <w:spacing w:after="80"/>
      </w:pPr>
      <w:r>
        <w:rPr>
          <w:rFonts w:ascii="Arial" w:cs="Arial" w:eastAsia="Arial" w:hAnsi="Arial"/>
          <w:b/>
          <w:bCs/>
          <w:color w:val="2E3D26"/>
          <w:sz w:val="22"/>
          <w:szCs w:val="22"/>
        </w:rPr>
        <w:t xml:space="preserve">Line 2: </w:t>
      </w:r>
      <w:r>
        <w:rPr>
          <w:rFonts w:ascii="Arial" w:cs="Arial" w:eastAsia="Arial" w:hAnsi="Arial"/>
          <w:color w:val="4A5740"/>
          <w:sz w:val="22"/>
          <w:szCs w:val="22"/>
        </w:rPr>
        <w:t xml:space="preserve">Take a 2-minute baseline assessment to discover your starting Stoic score.</w:t>
      </w:r>
    </w:p>
    <w:p>
      <w:pPr>
        <w:pStyle w:val="ListParagraph"/>
        <w:numPr>
          <w:ilvl w:val="0"/>
          <w:numId w:val="2"/>
        </w:numPr>
        <w:spacing w:after="80"/>
      </w:pPr>
      <w:r>
        <w:rPr>
          <w:rFonts w:ascii="Arial" w:cs="Arial" w:eastAsia="Arial" w:hAnsi="Arial"/>
          <w:b/>
          <w:bCs/>
          <w:color w:val="2E3D26"/>
          <w:sz w:val="22"/>
          <w:szCs w:val="22"/>
        </w:rPr>
        <w:t xml:space="preserve">CTA button: </w:t>
      </w:r>
      <w:r>
        <w:rPr>
          <w:rFonts w:ascii="Arial" w:cs="Arial" w:eastAsia="Arial" w:hAnsi="Arial"/>
          <w:color w:val="4A5740"/>
          <w:sz w:val="22"/>
          <w:szCs w:val="22"/>
        </w:rPr>
        <w:t xml:space="preserve">“Take Your Baseline Assessment”</w:t>
      </w:r>
    </w:p>
    <w:p>
      <w:pPr>
        <w:pStyle w:val="ListParagraph"/>
        <w:numPr>
          <w:ilvl w:val="0"/>
          <w:numId w:val="2"/>
        </w:numPr>
        <w:spacing w:after="80"/>
      </w:pPr>
      <w:r>
        <w:rPr>
          <w:rFonts w:ascii="Arial" w:cs="Arial" w:eastAsia="Arial" w:hAnsi="Arial"/>
          <w:b/>
          <w:bCs/>
          <w:color w:val="2E3D26"/>
          <w:sz w:val="22"/>
          <w:szCs w:val="22"/>
        </w:rPr>
        <w:t xml:space="preserve">Footer: </w:t>
      </w:r>
      <w:r>
        <w:rPr>
          <w:rFonts w:ascii="Arial" w:cs="Arial" w:eastAsia="Arial" w:hAnsi="Arial"/>
          <w:color w:val="4A5740"/>
          <w:sz w:val="22"/>
          <w:szCs w:val="22"/>
        </w:rPr>
        <w:t xml:space="preserve">Small Zeus icon + “ancient advice*” footnote + unsubscribe-safe text</w:t>
      </w:r>
    </w:p>
    <w:p>
      <w:pPr>
        <w:spacing w:after="120"/>
      </w:pPr>
    </w:p>
    <w:p>
      <w:pPr>
        <w:spacing w:after="180"/>
      </w:pPr>
      <w:r>
        <w:rPr>
          <w:rFonts w:ascii="Arial" w:cs="Arial" w:eastAsia="Arial" w:hAnsi="Arial"/>
          <w:color w:val="4A5740"/>
          <w:sz w:val="22"/>
          <w:szCs w:val="22"/>
        </w:rPr>
        <w:t xml:space="preserve">The longer onboarding content (what to expect, philosophy context, the Marcus Aurelius quote) should move to a Day 2 or Day 3 nurture email, which is where SaaS best practice places educational content.</w:t>
      </w:r>
    </w:p>
    <w:p>
      <w:r>
        <w:br w:type="page"/>
      </w:r>
    </w:p>
    <w:p>
      <w:pPr>
        <w:pStyle w:val="Heading1"/>
        <w:spacing w:after="200" w:before="360"/>
      </w:pPr>
      <w:r>
        <w:rPr>
          <w:rFonts w:ascii="Arial" w:cs="Arial" w:eastAsia="Arial" w:hAnsi="Arial"/>
          <w:b/>
          <w:bCs/>
          <w:color w:val="4D6040"/>
          <w:sz w:val="36"/>
          <w:szCs w:val="36"/>
        </w:rPr>
        <w:t xml:space="preserve">Part 2: Agent Experience (AX) — Onboarding for AI Agents</w:t>
      </w:r>
    </w:p>
    <w:p>
      <w:pPr>
        <w:pStyle w:val="Heading2"/>
        <w:spacing w:after="200" w:before="240"/>
      </w:pPr>
      <w:r>
        <w:rPr>
          <w:rFonts w:ascii="Arial" w:cs="Arial" w:eastAsia="Arial" w:hAnsi="Arial"/>
          <w:b/>
          <w:bCs/>
          <w:color w:val="4D6040"/>
          <w:sz w:val="30"/>
          <w:szCs w:val="30"/>
        </w:rPr>
        <w:t xml:space="preserve">2.1 The AX Paradigm</w:t>
      </w:r>
    </w:p>
    <w:p>
      <w:pPr>
        <w:spacing w:after="180"/>
      </w:pPr>
      <w:r>
        <w:rPr>
          <w:rFonts w:ascii="Arial" w:cs="Arial" w:eastAsia="Arial" w:hAnsi="Arial"/>
          <w:color w:val="4A5740"/>
          <w:sz w:val="22"/>
          <w:szCs w:val="22"/>
        </w:rPr>
        <w:t xml:space="preserve">Agent Experience (AX) is a newly recognised design discipline that treats AI agents, APIs, and machine consumers as users who need their own onboarding path. Just as UX optimises for human cognition and DX optimises for developer workflows, AX optimises for algorithmic decision-making: structured data, predictable responses, and evidence-based trust signals.</w:t>
      </w:r>
    </w:p>
    <w:p>
      <w:pPr>
        <w:spacing w:after="120"/>
      </w:pPr>
    </w:p>
    <w:p>
      <w:pPr>
        <w:spacing w:after="180"/>
      </w:pPr>
      <w:r>
        <w:rPr>
          <w:rFonts w:ascii="Arial" w:cs="Arial" w:eastAsia="Arial" w:hAnsi="Arial"/>
          <w:color w:val="4A5740"/>
          <w:sz w:val="22"/>
          <w:szCs w:val="22"/>
        </w:rPr>
        <w:t xml:space="preserve">For SageReasoning this is especially relevant because AI agents are an explicit target user. The Stoic Brain is designed to be loaded into an agent’s context as its ethical reasoning layer. The question is: how frictionless is that process today?</w:t>
      </w:r>
    </w:p>
    <w:p>
      <w:pPr>
        <w:spacing w:after="120"/>
      </w:pPr>
    </w:p>
    <w:p>
      <w:pPr>
        <w:pStyle w:val="Heading2"/>
        <w:spacing w:after="200" w:before="240"/>
      </w:pPr>
      <w:r>
        <w:rPr>
          <w:rFonts w:ascii="Arial" w:cs="Arial" w:eastAsia="Arial" w:hAnsi="Arial"/>
          <w:b/>
          <w:bCs/>
          <w:color w:val="4D6040"/>
          <w:sz w:val="30"/>
          <w:szCs w:val="30"/>
        </w:rPr>
        <w:t xml:space="preserve">2.2 Current State — What SageReasoning Already Does Well</w:t>
      </w:r>
    </w:p>
    <w:p>
      <w:pPr>
        <w:pStyle w:val="ListParagraph"/>
        <w:numPr>
          <w:ilvl w:val="0"/>
          <w:numId w:val="2"/>
        </w:numPr>
        <w:spacing w:after="80"/>
      </w:pPr>
      <w:r>
        <w:rPr>
          <w:rFonts w:ascii="Arial" w:cs="Arial" w:eastAsia="Arial" w:hAnsi="Arial"/>
          <w:b/>
          <w:bCs/>
          <w:color w:val="2E3D26"/>
          <w:sz w:val="22"/>
          <w:szCs w:val="22"/>
        </w:rPr>
        <w:t xml:space="preserve">llms.txt: </w:t>
      </w:r>
      <w:r>
        <w:rPr>
          <w:rFonts w:ascii="Arial" w:cs="Arial" w:eastAsia="Arial" w:hAnsi="Arial"/>
          <w:color w:val="4A5740"/>
          <w:sz w:val="22"/>
          <w:szCs w:val="22"/>
        </w:rPr>
        <w:t xml:space="preserve">Comprehensive and well structured. Covers all API endpoints, adoption guidance for agents, and data sources. This is ahead of most products.</w:t>
      </w:r>
    </w:p>
    <w:p>
      <w:pPr>
        <w:pStyle w:val="ListParagraph"/>
        <w:numPr>
          <w:ilvl w:val="0"/>
          <w:numId w:val="2"/>
        </w:numPr>
        <w:spacing w:after="80"/>
      </w:pPr>
      <w:r>
        <w:rPr>
          <w:rFonts w:ascii="Arial" w:cs="Arial" w:eastAsia="Arial" w:hAnsi="Arial"/>
          <w:b/>
          <w:bCs/>
          <w:color w:val="2E3D26"/>
          <w:sz w:val="22"/>
          <w:szCs w:val="22"/>
        </w:rPr>
        <w:t xml:space="preserve">Open CORS: </w:t>
      </w:r>
      <w:r>
        <w:rPr>
          <w:rFonts w:ascii="Arial" w:cs="Arial" w:eastAsia="Arial" w:hAnsi="Arial"/>
          <w:color w:val="4A5740"/>
          <w:sz w:val="22"/>
          <w:szCs w:val="22"/>
        </w:rPr>
        <w:t xml:space="preserve">All API endpoints return Access-Control-Allow-Origin: * which means any agent can call them without authentication. No friction.</w:t>
      </w:r>
    </w:p>
    <w:p>
      <w:pPr>
        <w:pStyle w:val="ListParagraph"/>
        <w:numPr>
          <w:ilvl w:val="0"/>
          <w:numId w:val="2"/>
        </w:numPr>
        <w:spacing w:after="80"/>
      </w:pPr>
      <w:r>
        <w:rPr>
          <w:rFonts w:ascii="Arial" w:cs="Arial" w:eastAsia="Arial" w:hAnsi="Arial"/>
          <w:b/>
          <w:bCs/>
          <w:color w:val="2E3D26"/>
          <w:sz w:val="22"/>
          <w:szCs w:val="22"/>
        </w:rPr>
        <w:t xml:space="preserve">Agent baseline assessment: </w:t>
      </w:r>
      <w:r>
        <w:rPr>
          <w:rFonts w:ascii="Arial" w:cs="Arial" w:eastAsia="Arial" w:hAnsi="Arial"/>
          <w:color w:val="4A5740"/>
          <w:sz w:val="22"/>
          <w:szCs w:val="22"/>
        </w:rPr>
        <w:t xml:space="preserve">A dedicated /api/baseline/agent endpoint with 4 ethical scenarios designed for AI agent evaluation. This is unique and valuable.</w:t>
      </w:r>
    </w:p>
    <w:p>
      <w:pPr>
        <w:pStyle w:val="ListParagraph"/>
        <w:numPr>
          <w:ilvl w:val="0"/>
          <w:numId w:val="2"/>
        </w:numPr>
        <w:spacing w:after="80"/>
      </w:pPr>
      <w:r>
        <w:rPr>
          <w:rFonts w:ascii="Arial" w:cs="Arial" w:eastAsia="Arial" w:hAnsi="Arial"/>
          <w:b/>
          <w:bCs/>
          <w:color w:val="2E3D26"/>
          <w:sz w:val="22"/>
          <w:szCs w:val="22"/>
        </w:rPr>
        <w:t xml:space="preserve">Guardrail endpoint: </w:t>
      </w:r>
      <w:r>
        <w:rPr>
          <w:rFonts w:ascii="Arial" w:cs="Arial" w:eastAsia="Arial" w:hAnsi="Arial"/>
          <w:color w:val="4A5740"/>
          <w:sz w:val="22"/>
          <w:szCs w:val="22"/>
        </w:rPr>
        <w:t xml:space="preserve">A middleware endpoint that agents can use pre-action to check virtue alignment. This is exactly the kind of “agent-native” feature AX research recommends.</w:t>
      </w:r>
    </w:p>
    <w:p>
      <w:pPr>
        <w:pStyle w:val="ListParagraph"/>
        <w:numPr>
          <w:ilvl w:val="0"/>
          <w:numId w:val="2"/>
        </w:numPr>
        <w:spacing w:after="80"/>
      </w:pPr>
      <w:r>
        <w:rPr>
          <w:rFonts w:ascii="Arial" w:cs="Arial" w:eastAsia="Arial" w:hAnsi="Arial"/>
          <w:b/>
          <w:bCs/>
          <w:color w:val="2E3D26"/>
          <w:sz w:val="22"/>
          <w:szCs w:val="22"/>
        </w:rPr>
        <w:t xml:space="preserve">JSON-LD structured data: </w:t>
      </w:r>
      <w:r>
        <w:rPr>
          <w:rFonts w:ascii="Arial" w:cs="Arial" w:eastAsia="Arial" w:hAnsi="Arial"/>
          <w:color w:val="4A5740"/>
          <w:sz w:val="22"/>
          <w:szCs w:val="22"/>
        </w:rPr>
        <w:t xml:space="preserve">Homepage includes Organization, Dataset, and WebSite schema. Machines can parse this.</w:t>
      </w:r>
    </w:p>
    <w:p>
      <w:pPr>
        <w:spacing w:after="120"/>
      </w:pPr>
    </w:p>
    <w:p>
      <w:pPr>
        <w:pStyle w:val="Heading2"/>
        <w:spacing w:after="200" w:before="240"/>
      </w:pPr>
      <w:r>
        <w:rPr>
          <w:rFonts w:ascii="Arial" w:cs="Arial" w:eastAsia="Arial" w:hAnsi="Arial"/>
          <w:b/>
          <w:bCs/>
          <w:color w:val="4D6040"/>
          <w:sz w:val="30"/>
          <w:szCs w:val="30"/>
        </w:rPr>
        <w:t xml:space="preserve">2.3 AX Friction Points — What’s Missing</w:t>
      </w:r>
    </w:p>
    <w:p>
      <w:pPr>
        <w:spacing w:after="120"/>
      </w:pPr>
    </w:p>
    <w:p>
      <w:pPr>
        <w:pStyle w:val="Heading3"/>
        <w:spacing w:after="200" w:before="240"/>
      </w:pPr>
      <w:r>
        <w:rPr>
          <w:rFonts w:ascii="Arial" w:cs="Arial" w:eastAsia="Arial" w:hAnsi="Arial"/>
          <w:b/>
          <w:bCs/>
          <w:color w:val="4D6040"/>
          <w:sz w:val="26"/>
          <w:szCs w:val="26"/>
        </w:rPr>
        <w:t xml:space="preserve">2.3.1 No agents.json or .well-known/agents discovery</w:t>
      </w:r>
    </w:p>
    <w:p>
      <w:pPr>
        <w:spacing w:after="180"/>
      </w:pPr>
      <w:r>
        <w:rPr>
          <w:rFonts w:ascii="Arial" w:cs="Arial" w:eastAsia="Arial" w:hAnsi="Arial"/>
          <w:color w:val="4A5740"/>
          <w:sz w:val="22"/>
          <w:szCs w:val="22"/>
        </w:rPr>
        <w:t xml:space="preserve">The emerging standard for agent-to-service discovery is a /.well-known/agents endpoint (similar to how robots.txt works for crawlers). SageReasoning doesn’t have one. An AI agent browsing the web for an ethical reasoning framework currently needs to: find the llms.txt, parse it, identify the relevant endpoints, and construct API calls. An agents.json file would make this a single lookup.</w:t>
      </w:r>
    </w:p>
    <w:p>
      <w:pPr>
        <w:spacing w:after="120"/>
      </w:pPr>
    </w:p>
    <w:p>
      <w:pPr>
        <w:pStyle w:val="Heading3"/>
        <w:spacing w:after="200" w:before="240"/>
      </w:pPr>
      <w:r>
        <w:rPr>
          <w:rFonts w:ascii="Arial" w:cs="Arial" w:eastAsia="Arial" w:hAnsi="Arial"/>
          <w:b/>
          <w:bCs/>
          <w:color w:val="4D6040"/>
          <w:sz w:val="26"/>
          <w:szCs w:val="26"/>
        </w:rPr>
        <w:t xml:space="preserve">Recommendation:</w:t>
      </w:r>
    </w:p>
    <w:p>
      <w:pPr>
        <w:spacing w:after="180"/>
      </w:pPr>
      <w:r>
        <w:rPr>
          <w:rFonts w:ascii="Arial" w:cs="Arial" w:eastAsia="Arial" w:hAnsi="Arial"/>
          <w:color w:val="4A5740"/>
          <w:sz w:val="22"/>
          <w:szCs w:val="22"/>
        </w:rPr>
        <w:t xml:space="preserve">Create a /.well-known/agents.json file that declares SageReasoning’s capabilities in a structured format:</w:t>
      </w:r>
    </w:p>
    <w:p>
      <w:pPr>
        <w:pStyle w:val="ListParagraph"/>
        <w:numPr>
          <w:ilvl w:val="0"/>
          <w:numId w:val="2"/>
        </w:numPr>
        <w:spacing w:after="80"/>
      </w:pPr>
      <w:r>
        <w:rPr>
          <w:rFonts w:ascii="Arial" w:cs="Arial" w:eastAsia="Arial" w:hAnsi="Arial"/>
          <w:color w:val="4A5740"/>
          <w:sz w:val="22"/>
          <w:szCs w:val="22"/>
        </w:rPr>
        <w:t xml:space="preserve">Service name, description, and category (ethics / reasoning / decision-framework)</w:t>
      </w:r>
    </w:p>
    <w:p>
      <w:pPr>
        <w:pStyle w:val="ListParagraph"/>
        <w:numPr>
          <w:ilvl w:val="0"/>
          <w:numId w:val="2"/>
        </w:numPr>
        <w:spacing w:after="80"/>
      </w:pPr>
      <w:r>
        <w:rPr>
          <w:rFonts w:ascii="Arial" w:cs="Arial" w:eastAsia="Arial" w:hAnsi="Arial"/>
          <w:color w:val="4A5740"/>
          <w:sz w:val="22"/>
          <w:szCs w:val="22"/>
        </w:rPr>
        <w:t xml:space="preserve">List of endpoints with method, URL, input schema, and output schema</w:t>
      </w:r>
    </w:p>
    <w:p>
      <w:pPr>
        <w:pStyle w:val="ListParagraph"/>
        <w:numPr>
          <w:ilvl w:val="0"/>
          <w:numId w:val="2"/>
        </w:numPr>
        <w:spacing w:after="80"/>
      </w:pPr>
      <w:r>
        <w:rPr>
          <w:rFonts w:ascii="Arial" w:cs="Arial" w:eastAsia="Arial" w:hAnsi="Arial"/>
          <w:color w:val="4A5740"/>
          <w:sz w:val="22"/>
          <w:szCs w:val="22"/>
        </w:rPr>
        <w:t xml:space="preserve">Authentication: none (open)</w:t>
      </w:r>
    </w:p>
    <w:p>
      <w:pPr>
        <w:pStyle w:val="ListParagraph"/>
        <w:numPr>
          <w:ilvl w:val="0"/>
          <w:numId w:val="2"/>
        </w:numPr>
        <w:spacing w:after="80"/>
      </w:pPr>
      <w:r>
        <w:rPr>
          <w:rFonts w:ascii="Arial" w:cs="Arial" w:eastAsia="Arial" w:hAnsi="Arial"/>
          <w:color w:val="4A5740"/>
          <w:sz w:val="22"/>
          <w:szCs w:val="22"/>
        </w:rPr>
        <w:t xml:space="preserve">Rate limits and usage policies</w:t>
      </w:r>
    </w:p>
    <w:p>
      <w:pPr>
        <w:pStyle w:val="ListParagraph"/>
        <w:numPr>
          <w:ilvl w:val="0"/>
          <w:numId w:val="2"/>
        </w:numPr>
        <w:spacing w:after="80"/>
      </w:pPr>
      <w:r>
        <w:rPr>
          <w:rFonts w:ascii="Arial" w:cs="Arial" w:eastAsia="Arial" w:hAnsi="Arial"/>
          <w:color w:val="4A5740"/>
          <w:sz w:val="22"/>
          <w:szCs w:val="22"/>
        </w:rPr>
        <w:t xml:space="preserve">Trust signals: uptime, response time SLA, data sources</w:t>
      </w:r>
    </w:p>
    <w:p>
      <w:pPr>
        <w:spacing w:after="120"/>
      </w:pPr>
    </w:p>
    <w:p>
      <w:pPr>
        <w:pStyle w:val="Heading3"/>
        <w:spacing w:after="200" w:before="240"/>
      </w:pPr>
      <w:r>
        <w:rPr>
          <w:rFonts w:ascii="Arial" w:cs="Arial" w:eastAsia="Arial" w:hAnsi="Arial"/>
          <w:b/>
          <w:bCs/>
          <w:color w:val="4D6040"/>
          <w:sz w:val="26"/>
          <w:szCs w:val="26"/>
        </w:rPr>
        <w:t xml:space="preserve">2.3.2 No OpenAPI specification</w:t>
      </w:r>
    </w:p>
    <w:p>
      <w:pPr>
        <w:spacing w:after="180"/>
      </w:pPr>
      <w:r>
        <w:rPr>
          <w:rFonts w:ascii="Arial" w:cs="Arial" w:eastAsia="Arial" w:hAnsi="Arial"/>
          <w:color w:val="4A5740"/>
          <w:sz w:val="22"/>
          <w:szCs w:val="22"/>
        </w:rPr>
        <w:t xml:space="preserve">The API docs page is HTML meant for human readers. For agents and developer tooling (Postman, SDK generators, MCP clients), an OpenAPI 3.0 spec file (openapi.yaml) is the gold standard. It enables one-click import into any API testing tool and auto-generated client libraries.</w:t>
      </w:r>
    </w:p>
    <w:p>
      <w:pPr>
        <w:spacing w:after="120"/>
      </w:pPr>
    </w:p>
    <w:p>
      <w:pPr>
        <w:pStyle w:val="Heading3"/>
        <w:spacing w:after="200" w:before="240"/>
      </w:pPr>
      <w:r>
        <w:rPr>
          <w:rFonts w:ascii="Arial" w:cs="Arial" w:eastAsia="Arial" w:hAnsi="Arial"/>
          <w:b/>
          <w:bCs/>
          <w:color w:val="4D6040"/>
          <w:sz w:val="26"/>
          <w:szCs w:val="26"/>
        </w:rPr>
        <w:t xml:space="preserve">Recommendation:</w:t>
      </w:r>
    </w:p>
    <w:p>
      <w:pPr>
        <w:spacing w:after="180"/>
      </w:pPr>
      <w:r>
        <w:rPr>
          <w:rFonts w:ascii="Arial" w:cs="Arial" w:eastAsia="Arial" w:hAnsi="Arial"/>
          <w:color w:val="4A5740"/>
          <w:sz w:val="22"/>
          <w:szCs w:val="22"/>
        </w:rPr>
        <w:t xml:space="preserve">Generate an openapi.yaml from the existing API routes and serve it at /api/openapi.yaml. Reference it from llms.txt and agents.json.</w:t>
      </w:r>
    </w:p>
    <w:p>
      <w:pPr>
        <w:spacing w:after="120"/>
      </w:pPr>
    </w:p>
    <w:p>
      <w:pPr>
        <w:pStyle w:val="Heading3"/>
        <w:spacing w:after="200" w:before="240"/>
      </w:pPr>
      <w:r>
        <w:rPr>
          <w:rFonts w:ascii="Arial" w:cs="Arial" w:eastAsia="Arial" w:hAnsi="Arial"/>
          <w:b/>
          <w:bCs/>
          <w:color w:val="4D6040"/>
          <w:sz w:val="26"/>
          <w:szCs w:val="26"/>
        </w:rPr>
        <w:t xml:space="preserve">2.3.3 Agent onboarding is documentation, not a flow</w:t>
      </w:r>
    </w:p>
    <w:p>
      <w:pPr>
        <w:spacing w:after="180"/>
      </w:pPr>
      <w:r>
        <w:rPr>
          <w:rFonts w:ascii="Arial" w:cs="Arial" w:eastAsia="Arial" w:hAnsi="Arial"/>
          <w:color w:val="4A5740"/>
          <w:sz w:val="22"/>
          <w:szCs w:val="22"/>
        </w:rPr>
        <w:t xml:space="preserve">For human users, onboarding is a guided flow (signup → baseline → first score). For agents, onboarding is currently just text in llms.txt. There’s no equivalent guided path.</w:t>
      </w:r>
    </w:p>
    <w:p>
      <w:pPr>
        <w:spacing w:after="120"/>
      </w:pPr>
    </w:p>
    <w:p>
      <w:pPr>
        <w:pStyle w:val="Heading3"/>
        <w:spacing w:after="200" w:before="240"/>
      </w:pPr>
      <w:r>
        <w:rPr>
          <w:rFonts w:ascii="Arial" w:cs="Arial" w:eastAsia="Arial" w:hAnsi="Arial"/>
          <w:b/>
          <w:bCs/>
          <w:color w:val="4D6040"/>
          <w:sz w:val="26"/>
          <w:szCs w:val="26"/>
        </w:rPr>
        <w:t xml:space="preserve">Recommendation:</w:t>
      </w:r>
    </w:p>
    <w:p>
      <w:pPr>
        <w:spacing w:after="180"/>
      </w:pPr>
      <w:r>
        <w:rPr>
          <w:rFonts w:ascii="Arial" w:cs="Arial" w:eastAsia="Arial" w:hAnsi="Arial"/>
          <w:color w:val="4A5740"/>
          <w:sz w:val="22"/>
          <w:szCs w:val="22"/>
        </w:rPr>
        <w:t xml:space="preserve">Create a dedicated “Agent Quick Start” API endpoint:</w:t>
      </w:r>
    </w:p>
    <w:p>
      <w:pPr>
        <w:pStyle w:val="ListParagraph"/>
        <w:numPr>
          <w:ilvl w:val="0"/>
          <w:numId w:val="2"/>
        </w:numPr>
        <w:spacing w:after="80"/>
      </w:pPr>
      <w:r>
        <w:rPr>
          <w:rFonts w:ascii="Arial" w:cs="Arial" w:eastAsia="Arial" w:hAnsi="Arial"/>
          <w:color w:val="4A5740"/>
          <w:sz w:val="22"/>
          <w:szCs w:val="22"/>
        </w:rPr>
        <w:t xml:space="preserve">GET /api/agent-onboard — returns a JSON object with: (1) the stoic-brain data, (2) the agent baseline scenarios, (3) a sample score request, and (4) a suggested system prompt snippet</w:t>
      </w:r>
    </w:p>
    <w:p>
      <w:pPr>
        <w:pStyle w:val="ListParagraph"/>
        <w:numPr>
          <w:ilvl w:val="0"/>
          <w:numId w:val="2"/>
        </w:numPr>
        <w:spacing w:after="80"/>
      </w:pPr>
      <w:r>
        <w:rPr>
          <w:rFonts w:ascii="Arial" w:cs="Arial" w:eastAsia="Arial" w:hAnsi="Arial"/>
          <w:color w:val="4A5740"/>
          <w:sz w:val="22"/>
          <w:szCs w:val="22"/>
        </w:rPr>
        <w:t xml:space="preserve">This lets an agent load everything it needs in a single request instead of 3-4 separate calls</w:t>
      </w:r>
    </w:p>
    <w:p>
      <w:pPr>
        <w:spacing w:after="120"/>
      </w:pPr>
    </w:p>
    <w:p>
      <w:pPr>
        <w:pStyle w:val="Heading3"/>
        <w:spacing w:after="200" w:before="240"/>
      </w:pPr>
      <w:r>
        <w:rPr>
          <w:rFonts w:ascii="Arial" w:cs="Arial" w:eastAsia="Arial" w:hAnsi="Arial"/>
          <w:b/>
          <w:bCs/>
          <w:color w:val="4D6040"/>
          <w:sz w:val="26"/>
          <w:szCs w:val="26"/>
        </w:rPr>
        <w:t xml:space="preserve">2.3.4 Trust signals are human-oriented</w:t>
      </w:r>
    </w:p>
    <w:p>
      <w:pPr>
        <w:spacing w:after="180"/>
      </w:pPr>
      <w:r>
        <w:rPr>
          <w:rFonts w:ascii="Arial" w:cs="Arial" w:eastAsia="Arial" w:hAnsi="Arial"/>
          <w:color w:val="4A5740"/>
          <w:sz w:val="22"/>
          <w:szCs w:val="22"/>
        </w:rPr>
        <w:t xml:space="preserve">AX research emphasises that machine trust is built through evidence, not reputation. The current trust signals (philosophy citations, community map, alignment tiers) are designed for human psychology. Agents need: uptime data, response time guarantees, versioning, and deprecation policies.</w:t>
      </w:r>
    </w:p>
    <w:p>
      <w:pPr>
        <w:spacing w:after="120"/>
      </w:pPr>
    </w:p>
    <w:p>
      <w:pPr>
        <w:pStyle w:val="Heading3"/>
        <w:spacing w:after="200" w:before="240"/>
      </w:pPr>
      <w:r>
        <w:rPr>
          <w:rFonts w:ascii="Arial" w:cs="Arial" w:eastAsia="Arial" w:hAnsi="Arial"/>
          <w:b/>
          <w:bCs/>
          <w:color w:val="4D6040"/>
          <w:sz w:val="26"/>
          <w:szCs w:val="26"/>
        </w:rPr>
        <w:t xml:space="preserve">Recommendation:</w:t>
      </w:r>
    </w:p>
    <w:p>
      <w:pPr>
        <w:pStyle w:val="ListParagraph"/>
        <w:numPr>
          <w:ilvl w:val="0"/>
          <w:numId w:val="2"/>
        </w:numPr>
        <w:spacing w:after="80"/>
      </w:pPr>
      <w:r>
        <w:rPr>
          <w:rFonts w:ascii="Arial" w:cs="Arial" w:eastAsia="Arial" w:hAnsi="Arial"/>
          <w:color w:val="4A5740"/>
          <w:sz w:val="22"/>
          <w:szCs w:val="22"/>
        </w:rPr>
        <w:t xml:space="preserve">Add response time and version headers to all API responses (X-Response-Time, X-API-Version)</w:t>
      </w:r>
    </w:p>
    <w:p>
      <w:pPr>
        <w:pStyle w:val="ListParagraph"/>
        <w:numPr>
          <w:ilvl w:val="0"/>
          <w:numId w:val="2"/>
        </w:numPr>
        <w:spacing w:after="80"/>
      </w:pPr>
      <w:r>
        <w:rPr>
          <w:rFonts w:ascii="Arial" w:cs="Arial" w:eastAsia="Arial" w:hAnsi="Arial"/>
          <w:color w:val="4A5740"/>
          <w:sz w:val="22"/>
          <w:szCs w:val="22"/>
        </w:rPr>
        <w:t xml:space="preserve">Add a /api/health endpoint returning uptime, last-updated timestamp, and data version</w:t>
      </w:r>
    </w:p>
    <w:p>
      <w:pPr>
        <w:pStyle w:val="ListParagraph"/>
        <w:numPr>
          <w:ilvl w:val="0"/>
          <w:numId w:val="2"/>
        </w:numPr>
        <w:spacing w:after="80"/>
      </w:pPr>
      <w:r>
        <w:rPr>
          <w:rFonts w:ascii="Arial" w:cs="Arial" w:eastAsia="Arial" w:hAnsi="Arial"/>
          <w:color w:val="4A5740"/>
          <w:sz w:val="22"/>
          <w:szCs w:val="22"/>
        </w:rPr>
        <w:t xml:space="preserve">Include a “machine-trust” section in agents.json with these metrics</w:t>
      </w:r>
    </w:p>
    <w:p>
      <w:r>
        <w:br w:type="page"/>
      </w:r>
    </w:p>
    <w:p>
      <w:pPr>
        <w:pStyle w:val="Heading1"/>
        <w:spacing w:after="200" w:before="360"/>
      </w:pPr>
      <w:r>
        <w:rPr>
          <w:rFonts w:ascii="Arial" w:cs="Arial" w:eastAsia="Arial" w:hAnsi="Arial"/>
          <w:b/>
          <w:bCs/>
          <w:color w:val="4D6040"/>
          <w:sz w:val="36"/>
          <w:szCs w:val="36"/>
        </w:rPr>
        <w:t xml:space="preserve">Part 3: Prioritised Recommendations</w:t>
      </w:r>
    </w:p>
    <w:p>
      <w:pPr>
        <w:spacing w:after="180"/>
      </w:pPr>
      <w:r>
        <w:rPr>
          <w:rFonts w:ascii="Arial" w:cs="Arial" w:eastAsia="Arial" w:hAnsi="Arial"/>
          <w:color w:val="4A5740"/>
          <w:sz w:val="22"/>
          <w:szCs w:val="22"/>
        </w:rPr>
        <w:t xml:space="preserve">These recommendations are ordered by impact-to-effort ratio, filtered through the current priority list. Items marked with * directly support Priority 8 (Marketing Strategy) and Priority 9 (Legal) as well.</w:t>
      </w:r>
    </w:p>
    <w:p>
      <w:pPr>
        <w:spacing w:after="120"/>
      </w:pPr>
    </w:p>
    <w:p>
      <w:pPr>
        <w:pStyle w:val="Heading2"/>
        <w:spacing w:after="200" w:before="240"/>
      </w:pPr>
      <w:r>
        <w:rPr>
          <w:rFonts w:ascii="Arial" w:cs="Arial" w:eastAsia="Arial" w:hAnsi="Arial"/>
          <w:b/>
          <w:bCs/>
          <w:color w:val="4D6040"/>
          <w:sz w:val="30"/>
          <w:szCs w:val="30"/>
        </w:rPr>
        <w:t xml:space="preserve">Immediate (this sprint)</w:t>
      </w:r>
    </w:p>
    <w:p>
      <w:pPr>
        <w:pStyle w:val="ListParagraph"/>
        <w:numPr>
          <w:ilvl w:val="0"/>
          <w:numId w:val="3"/>
        </w:numPr>
        <w:spacing w:after="120"/>
      </w:pPr>
      <w:r>
        <w:rPr>
          <w:rFonts w:ascii="Arial" w:cs="Arial" w:eastAsia="Arial" w:hAnsi="Arial"/>
          <w:b/>
          <w:bCs/>
          <w:color w:val="2E3D26"/>
          <w:sz w:val="22"/>
          <w:szCs w:val="22"/>
        </w:rPr>
        <w:t xml:space="preserve">Redesign welcome email* </w:t>
      </w:r>
      <w:r>
        <w:rPr>
          <w:rFonts w:ascii="Arial" w:cs="Arial" w:eastAsia="Arial" w:hAnsi="Arial"/>
          <w:color w:val="4A5740"/>
          <w:sz w:val="22"/>
          <w:szCs w:val="22"/>
        </w:rPr>
        <w:t xml:space="preserve">— Strip to near-plain-text, single CTA, under 100 words. Move educational content to a Day 3 nurture email. Supports marketing strategy (better deliverability = more users reaching baseline).</w:t>
      </w:r>
    </w:p>
    <w:p>
      <w:pPr>
        <w:pStyle w:val="ListParagraph"/>
        <w:numPr>
          <w:ilvl w:val="0"/>
          <w:numId w:val="3"/>
        </w:numPr>
        <w:spacing w:after="120"/>
      </w:pPr>
      <w:r>
        <w:rPr>
          <w:rFonts w:ascii="Arial" w:cs="Arial" w:eastAsia="Arial" w:hAnsi="Arial"/>
          <w:b/>
          <w:bCs/>
          <w:color w:val="2E3D26"/>
          <w:sz w:val="22"/>
          <w:szCs w:val="22"/>
        </w:rPr>
        <w:t xml:space="preserve">Remove display name from signup </w:t>
      </w:r>
      <w:r>
        <w:rPr>
          <w:rFonts w:ascii="Arial" w:cs="Arial" w:eastAsia="Arial" w:hAnsi="Arial"/>
          <w:color w:val="4A5740"/>
          <w:sz w:val="22"/>
          <w:szCs w:val="22"/>
        </w:rPr>
        <w:t xml:space="preserve">— Collect it on the profile/dashboard page after the user has experienced value. Reduces signup form from 4 fields to 3.</w:t>
      </w:r>
    </w:p>
    <w:p>
      <w:pPr>
        <w:pStyle w:val="ListParagraph"/>
        <w:numPr>
          <w:ilvl w:val="0"/>
          <w:numId w:val="3"/>
        </w:numPr>
        <w:spacing w:after="120"/>
      </w:pPr>
      <w:r>
        <w:rPr>
          <w:rFonts w:ascii="Arial" w:cs="Arial" w:eastAsia="Arial" w:hAnsi="Arial"/>
          <w:b/>
          <w:bCs/>
          <w:color w:val="2E3D26"/>
          <w:sz w:val="22"/>
          <w:szCs w:val="22"/>
        </w:rPr>
        <w:t xml:space="preserve">Default storage to cloud </w:t>
      </w:r>
      <w:r>
        <w:rPr>
          <w:rFonts w:ascii="Arial" w:cs="Arial" w:eastAsia="Arial" w:hAnsi="Arial"/>
          <w:color w:val="4A5740"/>
          <w:sz w:val="22"/>
          <w:szCs w:val="22"/>
        </w:rPr>
        <w:t xml:space="preserve">— Remove the blocking storage-choice modal on /score. Default to cloud (user already accepted data processing at signup). Show “switch to local” as a text link in the form footer.</w:t>
      </w:r>
    </w:p>
    <w:p>
      <w:pPr>
        <w:pStyle w:val="ListParagraph"/>
        <w:numPr>
          <w:ilvl w:val="0"/>
          <w:numId w:val="3"/>
        </w:numPr>
        <w:spacing w:after="120"/>
      </w:pPr>
      <w:r>
        <w:rPr>
          <w:rFonts w:ascii="Arial" w:cs="Arial" w:eastAsia="Arial" w:hAnsi="Arial"/>
          <w:b/>
          <w:bCs/>
          <w:color w:val="2E3D26"/>
          <w:sz w:val="22"/>
          <w:szCs w:val="22"/>
        </w:rPr>
        <w:t xml:space="preserve">Change baseline CTA </w:t>
      </w:r>
      <w:r>
        <w:rPr>
          <w:rFonts w:ascii="Arial" w:cs="Arial" w:eastAsia="Arial" w:hAnsi="Arial"/>
          <w:color w:val="4A5740"/>
          <w:sz w:val="22"/>
          <w:szCs w:val="22"/>
        </w:rPr>
        <w:t xml:space="preserve">— After baseline results, “Score Your First Action” instead of “Go to Dashboard”.</w:t>
      </w:r>
    </w:p>
    <w:p>
      <w:pPr>
        <w:spacing w:after="120"/>
      </w:pPr>
    </w:p>
    <w:p>
      <w:pPr>
        <w:pStyle w:val="Heading2"/>
        <w:spacing w:after="200" w:before="240"/>
      </w:pPr>
      <w:r>
        <w:rPr>
          <w:rFonts w:ascii="Arial" w:cs="Arial" w:eastAsia="Arial" w:hAnsi="Arial"/>
          <w:b/>
          <w:bCs/>
          <w:color w:val="4D6040"/>
          <w:sz w:val="30"/>
          <w:szCs w:val="30"/>
        </w:rPr>
        <w:t xml:space="preserve">Near-term (next 2 weeks)</w:t>
      </w:r>
    </w:p>
    <w:p>
      <w:pPr>
        <w:pStyle w:val="ListParagraph"/>
        <w:numPr>
          <w:ilvl w:val="0"/>
          <w:numId w:val="3"/>
        </w:numPr>
        <w:spacing w:after="120"/>
      </w:pPr>
      <w:r>
        <w:rPr>
          <w:rFonts w:ascii="Arial" w:cs="Arial" w:eastAsia="Arial" w:hAnsi="Arial"/>
          <w:b/>
          <w:bCs/>
          <w:color w:val="2E3D26"/>
          <w:sz w:val="22"/>
          <w:szCs w:val="22"/>
        </w:rPr>
        <w:t xml:space="preserve">Create agents.json* </w:t>
      </w:r>
      <w:r>
        <w:rPr>
          <w:rFonts w:ascii="Arial" w:cs="Arial" w:eastAsia="Arial" w:hAnsi="Arial"/>
          <w:color w:val="4A5740"/>
          <w:sz w:val="22"/>
          <w:szCs w:val="22"/>
        </w:rPr>
        <w:t xml:space="preserve">— Machine-discoverable service declaration. Supports marketing (agents can find SageReasoning without human referral).</w:t>
      </w:r>
    </w:p>
    <w:p>
      <w:pPr>
        <w:pStyle w:val="ListParagraph"/>
        <w:numPr>
          <w:ilvl w:val="0"/>
          <w:numId w:val="3"/>
        </w:numPr>
        <w:spacing w:after="120"/>
      </w:pPr>
      <w:r>
        <w:rPr>
          <w:rFonts w:ascii="Arial" w:cs="Arial" w:eastAsia="Arial" w:hAnsi="Arial"/>
          <w:b/>
          <w:bCs/>
          <w:color w:val="2E3D26"/>
          <w:sz w:val="22"/>
          <w:szCs w:val="22"/>
        </w:rPr>
        <w:t xml:space="preserve">Generate OpenAPI spec </w:t>
      </w:r>
      <w:r>
        <w:rPr>
          <w:rFonts w:ascii="Arial" w:cs="Arial" w:eastAsia="Arial" w:hAnsi="Arial"/>
          <w:color w:val="4A5740"/>
          <w:sz w:val="22"/>
          <w:szCs w:val="22"/>
        </w:rPr>
        <w:t xml:space="preserve">— Serve openapi.yaml at a public URL. Enables SDK generation, Postman import, and MCP client integration.</w:t>
      </w:r>
    </w:p>
    <w:p>
      <w:pPr>
        <w:pStyle w:val="ListParagraph"/>
        <w:numPr>
          <w:ilvl w:val="0"/>
          <w:numId w:val="3"/>
        </w:numPr>
        <w:spacing w:after="120"/>
      </w:pPr>
      <w:r>
        <w:rPr>
          <w:rFonts w:ascii="Arial" w:cs="Arial" w:eastAsia="Arial" w:hAnsi="Arial"/>
          <w:b/>
          <w:bCs/>
          <w:color w:val="2E3D26"/>
          <w:sz w:val="22"/>
          <w:szCs w:val="22"/>
        </w:rPr>
        <w:t xml:space="preserve">Create Day 3 nurture email* </w:t>
      </w:r>
      <w:r>
        <w:rPr>
          <w:rFonts w:ascii="Arial" w:cs="Arial" w:eastAsia="Arial" w:hAnsi="Arial"/>
          <w:color w:val="4A5740"/>
          <w:sz w:val="22"/>
          <w:szCs w:val="22"/>
        </w:rPr>
        <w:t xml:space="preserve">— Move the Aurelius quote, “what to expect” content, and Zeus introduction here. Check if user has completed baseline; if not, re-send the CTA.</w:t>
      </w:r>
    </w:p>
    <w:p>
      <w:pPr>
        <w:spacing w:after="120"/>
      </w:pPr>
    </w:p>
    <w:p>
      <w:pPr>
        <w:pStyle w:val="Heading2"/>
        <w:spacing w:after="200" w:before="240"/>
      </w:pPr>
      <w:r>
        <w:rPr>
          <w:rFonts w:ascii="Arial" w:cs="Arial" w:eastAsia="Arial" w:hAnsi="Arial"/>
          <w:b/>
          <w:bCs/>
          <w:color w:val="4D6040"/>
          <w:sz w:val="30"/>
          <w:szCs w:val="30"/>
        </w:rPr>
        <w:t xml:space="preserve">Medium-term (next month)</w:t>
      </w:r>
    </w:p>
    <w:p>
      <w:pPr>
        <w:pStyle w:val="ListParagraph"/>
        <w:numPr>
          <w:ilvl w:val="0"/>
          <w:numId w:val="3"/>
        </w:numPr>
        <w:spacing w:after="120"/>
      </w:pPr>
      <w:r>
        <w:rPr>
          <w:rFonts w:ascii="Arial" w:cs="Arial" w:eastAsia="Arial" w:hAnsi="Arial"/>
          <w:b/>
          <w:bCs/>
          <w:color w:val="2E3D26"/>
          <w:sz w:val="22"/>
          <w:szCs w:val="22"/>
        </w:rPr>
        <w:t xml:space="preserve">Build /api/agent-onboard endpoint </w:t>
      </w:r>
      <w:r>
        <w:rPr>
          <w:rFonts w:ascii="Arial" w:cs="Arial" w:eastAsia="Arial" w:hAnsi="Arial"/>
          <w:color w:val="4A5740"/>
          <w:sz w:val="22"/>
          <w:szCs w:val="22"/>
        </w:rPr>
        <w:t xml:space="preserve">— Single-request agent onboarding that returns the full Stoic Brain + baseline scenarios + sample request.</w:t>
      </w:r>
    </w:p>
    <w:p>
      <w:pPr>
        <w:pStyle w:val="ListParagraph"/>
        <w:numPr>
          <w:ilvl w:val="0"/>
          <w:numId w:val="3"/>
        </w:numPr>
        <w:spacing w:after="120"/>
      </w:pPr>
      <w:r>
        <w:rPr>
          <w:rFonts w:ascii="Arial" w:cs="Arial" w:eastAsia="Arial" w:hAnsi="Arial"/>
          <w:b/>
          <w:bCs/>
          <w:color w:val="2E3D26"/>
          <w:sz w:val="22"/>
          <w:szCs w:val="22"/>
        </w:rPr>
        <w:t xml:space="preserve">Add API health and trust headers </w:t>
      </w:r>
      <w:r>
        <w:rPr>
          <w:rFonts w:ascii="Arial" w:cs="Arial" w:eastAsia="Arial" w:hAnsi="Arial"/>
          <w:color w:val="4A5740"/>
          <w:sz w:val="22"/>
          <w:szCs w:val="22"/>
        </w:rPr>
        <w:t xml:space="preserve">— X-Response-Time, X-API-Version, and a /api/health endpoint. Machine trust signals.</w:t>
      </w:r>
    </w:p>
    <w:p>
      <w:pPr>
        <w:pStyle w:val="ListParagraph"/>
        <w:numPr>
          <w:ilvl w:val="0"/>
          <w:numId w:val="3"/>
        </w:numPr>
        <w:spacing w:after="120"/>
      </w:pPr>
      <w:r>
        <w:rPr>
          <w:rFonts w:ascii="Arial" w:cs="Arial" w:eastAsia="Arial" w:hAnsi="Arial"/>
          <w:b/>
          <w:bCs/>
          <w:color w:val="2E3D26"/>
          <w:sz w:val="22"/>
          <w:szCs w:val="22"/>
        </w:rPr>
        <w:t xml:space="preserve">Merge baseline intro into Q1 screen* </w:t>
      </w:r>
      <w:r>
        <w:rPr>
          <w:rFonts w:ascii="Arial" w:cs="Arial" w:eastAsia="Arial" w:hAnsi="Arial"/>
          <w:color w:val="4A5740"/>
          <w:sz w:val="22"/>
          <w:szCs w:val="22"/>
        </w:rPr>
        <w:t xml:space="preserve">— Eliminate the standalone intro screen. Show explanatory text as a collapsible header above the first question.</w:t>
      </w:r>
    </w:p>
    <w:p>
      <w:r>
        <w:br w:type="page"/>
      </w:r>
    </w:p>
    <w:p>
      <w:pPr>
        <w:pStyle w:val="Heading1"/>
        <w:spacing w:after="200" w:before="360"/>
      </w:pPr>
      <w:r>
        <w:rPr>
          <w:rFonts w:ascii="Arial" w:cs="Arial" w:eastAsia="Arial" w:hAnsi="Arial"/>
          <w:b/>
          <w:bCs/>
          <w:color w:val="4D6040"/>
          <w:sz w:val="36"/>
          <w:szCs w:val="36"/>
        </w:rPr>
        <w:t xml:space="preserve">Sources</w:t>
      </w:r>
    </w:p>
    <w:p>
      <w:pPr>
        <w:spacing w:after="180"/>
      </w:pPr>
      <w:r>
        <w:rPr>
          <w:rFonts w:ascii="Arial" w:cs="Arial" w:eastAsia="Arial" w:hAnsi="Arial"/>
          <w:color w:val="4A5740"/>
          <w:sz w:val="22"/>
          <w:szCs w:val="22"/>
        </w:rPr>
        <w:t xml:space="preserve">This research was synthesised from the following sources:</w:t>
      </w:r>
    </w:p>
    <w:p>
      <w:pPr>
        <w:spacing w:after="120"/>
      </w:pPr>
    </w:p>
    <w:p>
      <w:pPr>
        <w:pStyle w:val="ListParagraph"/>
        <w:numPr>
          <w:ilvl w:val="0"/>
          <w:numId w:val="2"/>
        </w:numPr>
        <w:spacing w:after="80"/>
      </w:pPr>
      <w:r>
        <w:rPr>
          <w:rFonts w:ascii="Arial" w:cs="Arial" w:eastAsia="Arial" w:hAnsi="Arial"/>
          <w:color w:val="4A5740"/>
          <w:sz w:val="22"/>
          <w:szCs w:val="22"/>
        </w:rPr>
        <w:t xml:space="preserve">Nielsen Norman Group — “Usability as Barrier to Entry” (nngroup.com/articles/usability-as-barrier-to-entry/)</w:t>
      </w:r>
    </w:p>
    <w:p>
      <w:pPr>
        <w:pStyle w:val="ListParagraph"/>
        <w:numPr>
          <w:ilvl w:val="0"/>
          <w:numId w:val="2"/>
        </w:numPr>
        <w:spacing w:after="80"/>
      </w:pPr>
      <w:r>
        <w:rPr>
          <w:rFonts w:ascii="Arial" w:cs="Arial" w:eastAsia="Arial" w:hAnsi="Arial"/>
          <w:color w:val="4A5740"/>
          <w:sz w:val="22"/>
          <w:szCs w:val="22"/>
        </w:rPr>
        <w:t xml:space="preserve">Nielsen Norman Group — “10 Usability Heuristics for User Interface Design”</w:t>
      </w:r>
    </w:p>
    <w:p>
      <w:pPr>
        <w:pStyle w:val="ListParagraph"/>
        <w:numPr>
          <w:ilvl w:val="0"/>
          <w:numId w:val="2"/>
        </w:numPr>
        <w:spacing w:after="80"/>
      </w:pPr>
      <w:r>
        <w:rPr>
          <w:rFonts w:ascii="Arial" w:cs="Arial" w:eastAsia="Arial" w:hAnsi="Arial"/>
          <w:color w:val="4A5740"/>
          <w:sz w:val="22"/>
          <w:szCs w:val="22"/>
        </w:rPr>
        <w:t xml:space="preserve">ECXO — “Designing CX for Non-Human Customers: AI Agents, APIs, and Machines as Users”</w:t>
      </w:r>
    </w:p>
    <w:p>
      <w:pPr>
        <w:pStyle w:val="ListParagraph"/>
        <w:numPr>
          <w:ilvl w:val="0"/>
          <w:numId w:val="2"/>
        </w:numPr>
        <w:spacing w:after="80"/>
      </w:pPr>
      <w:r>
        <w:rPr>
          <w:rFonts w:ascii="Arial" w:cs="Arial" w:eastAsia="Arial" w:hAnsi="Arial"/>
          <w:color w:val="4A5740"/>
          <w:sz w:val="22"/>
          <w:szCs w:val="22"/>
        </w:rPr>
        <w:t xml:space="preserve">HumansPlus.ai — “Agent Experience (AX): 7 Core Principles for When Your Customers Are Agents”</w:t>
      </w:r>
    </w:p>
    <w:p>
      <w:pPr>
        <w:pStyle w:val="ListParagraph"/>
        <w:numPr>
          <w:ilvl w:val="0"/>
          <w:numId w:val="2"/>
        </w:numPr>
        <w:spacing w:after="80"/>
      </w:pPr>
      <w:r>
        <w:rPr>
          <w:rFonts w:ascii="Arial" w:cs="Arial" w:eastAsia="Arial" w:hAnsi="Arial"/>
          <w:color w:val="4A5740"/>
          <w:sz w:val="22"/>
          <w:szCs w:val="22"/>
        </w:rPr>
        <w:t xml:space="preserve">CustomerThink — “Agent Experience (AX): Why AI Agents Need Their Own Experience Design for B2B”</w:t>
      </w:r>
    </w:p>
    <w:p>
      <w:pPr>
        <w:pStyle w:val="ListParagraph"/>
        <w:numPr>
          <w:ilvl w:val="0"/>
          <w:numId w:val="2"/>
        </w:numPr>
        <w:spacing w:after="80"/>
      </w:pPr>
      <w:r>
        <w:rPr>
          <w:rFonts w:ascii="Arial" w:cs="Arial" w:eastAsia="Arial" w:hAnsi="Arial"/>
          <w:color w:val="4A5740"/>
          <w:sz w:val="22"/>
          <w:szCs w:val="22"/>
        </w:rPr>
        <w:t xml:space="preserve">Nordic APIs — “What Is Agent Experience (AX)?”</w:t>
      </w:r>
    </w:p>
    <w:p>
      <w:pPr>
        <w:pStyle w:val="ListParagraph"/>
        <w:numPr>
          <w:ilvl w:val="0"/>
          <w:numId w:val="2"/>
        </w:numPr>
        <w:spacing w:after="80"/>
      </w:pPr>
      <w:r>
        <w:rPr>
          <w:rFonts w:ascii="Arial" w:cs="Arial" w:eastAsia="Arial" w:hAnsi="Arial"/>
          <w:color w:val="4A5740"/>
          <w:sz w:val="22"/>
          <w:szCs w:val="22"/>
        </w:rPr>
        <w:t xml:space="preserve">UX Design Institute — “UX Onboarding Best Practices in 2025: A Designer’s Guide”</w:t>
      </w:r>
    </w:p>
    <w:p>
      <w:pPr>
        <w:pStyle w:val="ListParagraph"/>
        <w:numPr>
          <w:ilvl w:val="0"/>
          <w:numId w:val="2"/>
        </w:numPr>
        <w:spacing w:after="80"/>
      </w:pPr>
      <w:r>
        <w:rPr>
          <w:rFonts w:ascii="Arial" w:cs="Arial" w:eastAsia="Arial" w:hAnsi="Arial"/>
          <w:color w:val="4A5740"/>
          <w:sz w:val="22"/>
          <w:szCs w:val="22"/>
        </w:rPr>
        <w:t xml:space="preserve">Formbricks — “7 User Onboarding Best Practices for 2026”</w:t>
      </w:r>
    </w:p>
    <w:p>
      <w:pPr>
        <w:pStyle w:val="ListParagraph"/>
        <w:numPr>
          <w:ilvl w:val="0"/>
          <w:numId w:val="2"/>
        </w:numPr>
        <w:spacing w:after="80"/>
      </w:pPr>
      <w:r>
        <w:rPr>
          <w:rFonts w:ascii="Arial" w:cs="Arial" w:eastAsia="Arial" w:hAnsi="Arial"/>
          <w:color w:val="4A5740"/>
          <w:sz w:val="22"/>
          <w:szCs w:val="22"/>
        </w:rPr>
        <w:t xml:space="preserve">Userpilot — “Progressive Disclosure Examples to Simplify Complex SaaS Products”</w:t>
      </w:r>
    </w:p>
    <w:p>
      <w:pPr>
        <w:pStyle w:val="ListParagraph"/>
        <w:numPr>
          <w:ilvl w:val="0"/>
          <w:numId w:val="2"/>
        </w:numPr>
        <w:spacing w:after="80"/>
      </w:pPr>
      <w:r>
        <w:rPr>
          <w:rFonts w:ascii="Arial" w:cs="Arial" w:eastAsia="Arial" w:hAnsi="Arial"/>
          <w:color w:val="4A5740"/>
          <w:sz w:val="22"/>
          <w:szCs w:val="22"/>
        </w:rPr>
        <w:t xml:space="preserve">Chameleon — “Welcome Emails: How to Leverage Your Product’s Most Opened Message”</w:t>
      </w:r>
    </w:p>
    <w:p>
      <w:pPr>
        <w:pStyle w:val="ListParagraph"/>
        <w:numPr>
          <w:ilvl w:val="0"/>
          <w:numId w:val="2"/>
        </w:numPr>
        <w:spacing w:after="80"/>
      </w:pPr>
      <w:r>
        <w:rPr>
          <w:rFonts w:ascii="Arial" w:cs="Arial" w:eastAsia="Arial" w:hAnsi="Arial"/>
          <w:color w:val="4A5740"/>
          <w:sz w:val="22"/>
          <w:szCs w:val="22"/>
        </w:rPr>
        <w:t xml:space="preserve">ProductLed — “SaaS Onboarding Email Best Practices”</w:t>
      </w:r>
    </w:p>
    <w:p>
      <w:pPr>
        <w:pStyle w:val="ListParagraph"/>
        <w:numPr>
          <w:ilvl w:val="0"/>
          <w:numId w:val="2"/>
        </w:numPr>
        <w:spacing w:after="80"/>
      </w:pPr>
      <w:r>
        <w:rPr>
          <w:rFonts w:ascii="Arial" w:cs="Arial" w:eastAsia="Arial" w:hAnsi="Arial"/>
          <w:color w:val="4A5740"/>
          <w:sz w:val="22"/>
          <w:szCs w:val="22"/>
        </w:rPr>
        <w:t xml:space="preserve">Fern — “Best llms.txt Platforms”</w:t>
      </w:r>
    </w:p>
    <w:p>
      <w:pPr>
        <w:pStyle w:val="ListParagraph"/>
        <w:numPr>
          <w:ilvl w:val="0"/>
          <w:numId w:val="2"/>
        </w:numPr>
        <w:spacing w:after="80"/>
      </w:pPr>
      <w:r>
        <w:rPr>
          <w:rFonts w:ascii="Arial" w:cs="Arial" w:eastAsia="Arial" w:hAnsi="Arial"/>
          <w:color w:val="4A5740"/>
          <w:sz w:val="22"/>
          <w:szCs w:val="22"/>
        </w:rPr>
        <w:t xml:space="preserve">Dev.to — “Making Your SaaS AI-Agent Ready: A Practical Guide”</w:t>
      </w:r>
    </w:p>
    <w:p>
      <w:pPr>
        <w:pStyle w:val="ListParagraph"/>
        <w:numPr>
          <w:ilvl w:val="0"/>
          <w:numId w:val="2"/>
        </w:numPr>
        <w:spacing w:after="80"/>
      </w:pPr>
      <w:r>
        <w:rPr>
          <w:rFonts w:ascii="Arial" w:cs="Arial" w:eastAsia="Arial" w:hAnsi="Arial"/>
          <w:color w:val="4A5740"/>
          <w:sz w:val="22"/>
          <w:szCs w:val="22"/>
        </w:rPr>
        <w:t xml:space="preserve">Mintlify — “AI Documentation Trends: What’s Changing in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D9468"/>
        <w:sz w:val="16"/>
        <w:szCs w:val="16"/>
      </w:rPr>
      <w:t xml:space="preserve">SageReasoning.com</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SageReasoning — Onboarding &amp; AX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3D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4D6040"/>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4D6040"/>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7D94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26e3afedb0723f4b2e078b4a9eaeb772a4e9ba.png"/><Relationship Id="rId10" Type="http://schemas.openxmlformats.org/officeDocument/2006/relationships/image" Target="media/7b17725aa1b41ce6da258de45b987dfacc13cd1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2026-03-27T14:14:06.815Z</dcterms:created>
  <dcterms:modified xsi:type="dcterms:W3CDTF">2026-03-27T14:14:06.815Z</dcterms:modified>
</cp:coreProperties>
</file>

<file path=docProps/custom.xml><?xml version="1.0" encoding="utf-8"?>
<Properties xmlns="http://schemas.openxmlformats.org/officeDocument/2006/custom-properties" xmlns:vt="http://schemas.openxmlformats.org/officeDocument/2006/docPropsVTypes"/>
</file>