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2e1a"/>
          <w:sz w:val="56"/>
          <w:szCs w:val="56"/>
        </w:rPr>
        <w:t xml:space="preserve">SageReasoning</w:t>
      </w:r>
    </w:p>
    <w:p>
      <w:pPr>
        <w:spacing w:after="400"/>
        <w:jc w:val="center"/>
      </w:pPr>
      <w:r>
        <w:rPr>
          <w:rFonts w:ascii="Arial" w:cs="Arial" w:eastAsia="Arial" w:hAnsi="Arial"/>
          <w:color w:val="3d5a3d"/>
          <w:sz w:val="36"/>
          <w:szCs w:val="36"/>
        </w:rPr>
        <w:t xml:space="preserve">Revenue Strategy Research</w:t>
      </w:r>
    </w:p>
    <w:p>
      <w:pPr>
        <w:spacing w:after="100"/>
        <w:jc w:val="center"/>
      </w:pPr>
      <w:r>
        <w:rPr>
          <w:rFonts w:ascii="Arial" w:cs="Arial" w:eastAsia="Arial" w:hAnsi="Arial"/>
          <w:color w:val="6b8f71"/>
          <w:sz w:val="22"/>
          <w:szCs w:val="22"/>
        </w:rPr>
        <w:t xml:space="preserve">Priority 10: Sustainable Income Aligned with Stoic Values</w:t>
      </w:r>
    </w:p>
    <w:p>
      <w:pPr>
        <w:spacing w:after="100"/>
        <w:jc w:val="center"/>
      </w:pPr>
      <w:r>
        <w:rPr>
          <w:rFonts w:ascii="Arial" w:cs="Arial" w:eastAsia="Arial" w:hAnsi="Arial"/>
          <w:color w:val="6b8f71"/>
          <w:sz w:val="22"/>
          <w:szCs w:val="22"/>
        </w:rPr>
        <w:t xml:space="preserve">27 March 2026</w:t>
      </w:r>
    </w:p>
    <w:p>
      <w:pPr>
        <w:spacing w:before="1200"/>
      </w:pPr>
    </w:p>
    <w:p>
      <w:pPr>
        <w:pBdr>
          <w:top w:val="single" w:color="6b8f71" w:sz="2" w:space="8"/>
        </w:pBdr>
        <w:spacing w:before="200"/>
        <w:jc w:val="center"/>
      </w:pPr>
      <w:r>
        <w:rPr>
          <w:rFonts w:ascii="Arial" w:cs="Arial" w:eastAsia="Arial" w:hAnsi="Arial"/>
          <w:i/>
          <w:iCs/>
          <w:color w:val="3d5a3d"/>
          <w:sz w:val="22"/>
          <w:szCs w:val="22"/>
        </w:rPr>
        <w:t xml:space="preserve">“Wealth consists not in having great possessions, but in having few wants.” — Epictetus</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t xml:space="preserve">This document presents research into revenue models for sagereasoning.com that meet three requirements: philosophical consistency with Stoic values, sustainable coverage of API and operational costs, and accessibility for users regardless of ability to pay.</w:t>
      </w:r>
    </w:p>
    <w:p>
      <w:pPr>
        <w:spacing w:after="160"/>
      </w:pPr>
      <w:r>
        <w:t xml:space="preserve">The core finding is that SageReasoning’s existing three-tier structure (The Agora, Prokoptos, and API usage-based pricing) is well-designed and philosophically sound. This research recommends refining and extending that structure with five additional revenue streams rather than replacing it. The key additions are: virtue badges and functional accessories, an AI Agent Marketplace where agents pay for reasoning services, enterprise and institutional licensing, a structured patronage model inspired by the ancient Stoic tradition, and strategic cost optimisation to reduce API expenses by up to 50%.</w:t>
      </w:r>
    </w:p>
    <w:p>
      <w:pPr>
        <w:spacing w:after="160"/>
      </w:pPr>
      <w:r>
        <w:t xml:space="preserve">At current cost projections ($280–$670/month at scale), break-even requires approximately 58 Prokoptos subscribers. With the additional streams proposed here, the platform can reach sustainability sooner and build a reserve against legal costs.</w:t>
      </w:r>
    </w:p>
    <w:p>
      <w:r>
        <w:br w:type="page"/>
      </w:r>
    </w:p>
    <w:p>
      <w:pPr>
        <w:pStyle w:val="Heading1"/>
      </w:pPr>
      <w:r>
        <w:t xml:space="preserve">2. Stoic Principles Governing Revenue</w:t>
      </w:r>
    </w:p>
    <w:p>
      <w:pPr>
        <w:spacing w:after="160"/>
      </w:pPr>
      <w:r>
        <w:t xml:space="preserve">Before evaluating specific models, it is worth establishing the philosophical guardrails. Stoicism treats money as a “preferred indifferent” — useful when available but never to be pursued at the expense of virtue. Seneca warned against reducing human relationships to arithmetic reciprocity (pure transactional logic) when the goal should be social reciprocity (fairness, mutual development, genuine exchange of value).</w:t>
      </w:r>
    </w:p>
    <w:p>
      <w:pPr>
        <w:spacing w:after="160"/>
      </w:pPr>
      <w:r>
        <w:t xml:space="preserve">Five principles emerge from Stoic sources that should govern every revenue decision:</w:t>
      </w:r>
    </w:p>
    <w:p>
      <w:pPr>
        <w:pStyle w:val="ListParagraph"/>
        <w:numPr>
          <w:ilvl w:val="0"/>
          <w:numId w:val="2"/>
        </w:numPr>
        <w:spacing w:after="100"/>
      </w:pPr>
      <w:r>
        <w:rPr>
          <w:b/>
          <w:bCs/>
        </w:rPr>
        <w:t xml:space="preserve">Virtue over profit. </w:t>
      </w:r>
      <w:r>
        <w:t xml:space="preserve">Every revenue mechanism must first pass the test: does this serve users’ development toward virtue, or does it exploit their psychology for extraction?</w:t>
      </w:r>
    </w:p>
    <w:p>
      <w:pPr>
        <w:pStyle w:val="ListParagraph"/>
        <w:numPr>
          <w:ilvl w:val="0"/>
          <w:numId w:val="2"/>
        </w:numPr>
        <w:spacing w:after="100"/>
      </w:pPr>
      <w:r>
        <w:rPr>
          <w:b/>
          <w:bCs/>
        </w:rPr>
        <w:t xml:space="preserve">Fair exchange, not extraction. </w:t>
      </w:r>
      <w:r>
        <w:t xml:space="preserve">Pricing should reflect genuine value provided. No dark patterns, no artificial scarcity, no information asymmetry.</w:t>
      </w:r>
    </w:p>
    <w:p>
      <w:pPr>
        <w:pStyle w:val="ListParagraph"/>
        <w:numPr>
          <w:ilvl w:val="0"/>
          <w:numId w:val="2"/>
        </w:numPr>
        <w:spacing w:after="100"/>
      </w:pPr>
      <w:r>
        <w:rPr>
          <w:b/>
          <w:bCs/>
        </w:rPr>
        <w:t xml:space="preserve">Accessibility without sacrifice. </w:t>
      </w:r>
      <w:r>
        <w:t xml:space="preserve">Core wisdom must remain free. Paid features should represent genuine additional value, not gatekeeping of philosophy.</w:t>
      </w:r>
    </w:p>
    <w:p>
      <w:pPr>
        <w:pStyle w:val="ListParagraph"/>
        <w:numPr>
          <w:ilvl w:val="0"/>
          <w:numId w:val="2"/>
        </w:numPr>
        <w:spacing w:after="100"/>
      </w:pPr>
      <w:r>
        <w:rPr>
          <w:b/>
          <w:bCs/>
        </w:rPr>
        <w:t xml:space="preserve">Transparency. </w:t>
      </w:r>
      <w:r>
        <w:t xml:space="preserve">Users should understand exactly what they’re paying for and why. Pricing rationale should be visible, not hidden.</w:t>
      </w:r>
    </w:p>
    <w:p>
      <w:pPr>
        <w:pStyle w:val="ListParagraph"/>
        <w:numPr>
          <w:ilvl w:val="0"/>
          <w:numId w:val="2"/>
        </w:numPr>
        <w:spacing w:after="200"/>
      </w:pPr>
      <w:r>
        <w:rPr>
          <w:b/>
          <w:bCs/>
        </w:rPr>
        <w:t xml:space="preserve">Freedom from attachment. </w:t>
      </w:r>
      <w:r>
        <w:t xml:space="preserve">Revenue is a tool for sustainability, not the mission itself. The platform should be willing to leave money on the table when extraction would compromise virtue.</w:t>
      </w:r>
    </w:p>
    <w:p>
      <w:pPr>
        <w:spacing w:after="160"/>
      </w:pPr>
      <w:r>
        <w:t xml:space="preserve">These principles are not just philosophical window dressing. They are the competitive advantage. In a market saturated with mindfulness apps using manipulative engagement tactics, SageReasoning’s integrity is its brand.</w:t>
      </w:r>
    </w:p>
    <w:p>
      <w:r>
        <w:br w:type="page"/>
      </w:r>
    </w:p>
    <w:p>
      <w:pPr>
        <w:pStyle w:val="Heading1"/>
      </w:pPr>
      <w:r>
        <w:t xml:space="preserve">3. Historical Precedent: How Stoic Schools Were Funded</w:t>
      </w:r>
    </w:p>
    <w:p>
      <w:pPr>
        <w:spacing w:after="160"/>
      </w:pPr>
      <w:r>
        <w:t xml:space="preserve">Ancient Stoic schools operated through a combination of patronage, community support, and modest student contributions. Zeno of Citium founded the school in the Stoa Poikile — a public colonnade in the Athenian agora — deliberately choosing a space that was open and accessible rather than an exclusive institution. The school required no tuition to attend.</w:t>
      </w:r>
    </w:p>
    <w:p>
      <w:pPr>
        <w:spacing w:after="160"/>
      </w:pPr>
      <w:r>
        <w:t xml:space="preserve">Epictetus, who was born enslaved and later freed, taught in Nicopolis with minimal economic interest, accepting what students could provide. Musonius Rufus came from the Roman equestrian class and had independent means. Marcus Aurelius, as emperor, supported philosophical education through institutional patronage.</w:t>
      </w:r>
    </w:p>
    <w:p>
      <w:pPr>
        <w:spacing w:after="160"/>
      </w:pPr>
      <w:r>
        <w:t xml:space="preserve">The pattern is clear: Stoic education was funded by those who could afford to give, so that it remained accessible to those who could not. This maps directly to a modern model where voluntary contributions and premium services from committed practitioners sustain free access for everyone else.</w:t>
      </w:r>
    </w:p>
    <w:p>
      <w:pPr>
        <w:pStyle w:val="Heading2"/>
      </w:pPr>
      <w:r>
        <w:t xml:space="preserve">3.1 Applying the Pattern to SageReasoning</w:t>
      </w:r>
    </w:p>
    <w:p>
      <w:pPr>
        <w:spacing w:after="160"/>
      </w:pPr>
      <w:r>
        <w:t xml:space="preserve">The ancient model translates remarkably well to the digital context. The free tier (The Agora) mirrors the open colonnade. Prokoptos subscribers are the committed students who contribute to sustaining the school. API customers are institutional users embedding Stoic reasoning into their own systems. And voluntary contributions from free-tier users continue the patronage tradition.</w:t>
      </w:r>
    </w:p>
    <w:p>
      <w:pPr>
        <w:pStyle w:val="Heading1"/>
      </w:pPr>
      <w:r>
        <w:t xml:space="preserve">4. Validation of Existing Pricing Structure</w:t>
      </w:r>
    </w:p>
    <w:p>
      <w:pPr>
        <w:spacing w:after="160"/>
      </w:pPr>
      <w:r>
        <w:t xml:space="preserve">The current three-tier structure on the pricing page is well-designed. Here is an assessment of each tier against the five Stoic commerce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Stoic Alignment</w:t>
            </w:r>
          </w:p>
        </w:tc>
        <w:tc>
          <w:tcPr>
            <w:tcW w:type="dxa" w:w="24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Market Comparison</w:t>
            </w:r>
          </w:p>
        </w:tc>
        <w:tc>
          <w:tcPr>
            <w:tcW w:type="dxa" w:w="236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Agora ($0)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 Core scoring, journal, and Stoic Brain all free. Mirrors Stoic open-access tradition.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generous than Headspace, Calm, or Waking Up free tiers.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as-is. This is the strongest brand statement.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Prokoptos ($7/mo)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Provides genuine additional value (unlimited scoring, AI journal). Naming is philosophically resonant.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 below Waking Up ($14.99/mo) and Headspace ($12.99/mo). Appropriately modest.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price. Consider annual-only initially to reduce churn and Stripe fees.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($0.01/call)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Pay-for-what-you-use is transparent and fair. Free Stoic Brain data is a strong signal.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Competitive with similar API services. Margin depends on prompt caching.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Add volume discounts at 10K+ calls/month.</w:t>
            </w:r>
          </w:p>
        </w:tc>
      </w:tr>
    </w:tbl>
    <w:p>
      <w:pPr>
        <w:spacing w:after="160"/>
      </w:pPr>
      <w:r>
        <w:t xml:space="preserve"/>
      </w:r>
    </w:p>
    <w:p>
      <w:pPr>
        <w:spacing w:after="160"/>
      </w:pPr>
      <w:r>
        <w:t xml:space="preserve">The existing structure does not need replacement. What follows are five additional revenue streams to layer on top of it.</w:t>
      </w:r>
    </w:p>
    <w:p>
      <w:r>
        <w:br w:type="page"/>
      </w:r>
    </w:p>
    <w:p>
      <w:pPr>
        <w:pStyle w:val="Heading1"/>
      </w:pPr>
      <w:r>
        <w:t xml:space="preserve">5. Proposed Additional Revenue Streams</w:t>
      </w:r>
    </w:p>
    <w:p>
      <w:pPr>
        <w:pStyle w:val="Heading2"/>
      </w:pPr>
      <w:r>
        <w:t xml:space="preserve">5.1 Virtue Badges and Functional Accessories</w:t>
      </w:r>
    </w:p>
    <w:p>
      <w:pPr>
        <w:spacing w:after="160"/>
      </w:pPr>
      <w:r>
        <w:t xml:space="preserve">Stoicism avoids excess and ornamentation, but it values functional reminders. The ancient Stoics carried physical tokens — Memento Mori coins, for instance — as aids to philosophical practice. Ryan Holiday’s Daily Stoic brand has demonstrated strong demand for such items, with Memento Mori medallions and virtue-themed merchandise generating significant revenue alongside their educational business.</w:t>
      </w:r>
    </w:p>
    <w:p>
      <w:pPr>
        <w:spacing w:after="160"/>
      </w:pPr>
      <w:r>
        <w:t xml:space="preserve">SageReasoning already has four virtue symbols (Owl for Wisdom, Scales for Justice, Lion for Courage, Lotus for Temperance) plus the Sage Leaf. These translate naturally into physical accessories:</w:t>
      </w:r>
    </w:p>
    <w:p>
      <w:pPr>
        <w:pStyle w:val="Heading3"/>
      </w:pPr>
      <w:r>
        <w:t xml:space="preserve">Proposed Product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c>
          <w:tcPr>
            <w:tcW w:type="dxa" w:w="22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14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22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Margin</w:t>
            </w:r>
          </w:p>
        </w:tc>
        <w:tc>
          <w:tcPr>
            <w:tcW w:type="dxa" w:w="356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Stoic Function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Virtue Pin Badges (set of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($12–15 margin)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Subtle daily reminder of the virtue you are focusing on. Wear whichever virtue needs 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Sage Leaf Lapel Pin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Aspiration marker. Simple and discreet; signals commitment to the path without ostentation.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Pocket Decision Token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weighted coin to hold during deliberation. One side shows the four virtues, the reverse reads “What would the Sage 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Journal Companion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Hardcover notebook structured around the 56-day Prokoptos curriculum. For users who prefer pen and paper.</w:t>
            </w:r>
          </w:p>
        </w:tc>
      </w:tr>
    </w:tbl>
    <w:p>
      <w:pPr>
        <w:spacing w:after="160"/>
      </w:pPr>
      <w:r>
        <w:t xml:space="preserve"/>
      </w:r>
    </w:p>
    <w:p>
      <w:pPr>
        <w:spacing w:after="160"/>
      </w:pPr>
      <w:r>
        <w:rPr>
          <w:b/>
          <w:bCs/>
        </w:rPr>
        <w:t xml:space="preserve">Why this works philosophically: </w:t>
      </w:r>
      <w:r>
        <w:t xml:space="preserve">Each item serves a genuine practice function. The badges are not decorative — they are daily triggers for reflection. A user wearing the Owl pin is reminded throughout the day to exercise practical wisdom. This is consistent with Stoic use of physical reminders and avoids the “merch for merch’s sake” trap.</w:t>
      </w:r>
    </w:p>
    <w:p>
      <w:pPr>
        <w:spacing w:after="160"/>
      </w:pPr>
      <w:r>
        <w:rPr>
          <w:b/>
          <w:bCs/>
        </w:rPr>
        <w:t xml:space="preserve">Implementation: </w:t>
      </w:r>
      <w:r>
        <w:t xml:space="preserve">Start with print-on-demand or small-batch production through platforms like Printful or a local Australian manufacturer. No inventory risk. Ship internationally from Australia. Add to website as a “Practice Tools” section, not a “shop.”</w:t>
      </w:r>
    </w:p>
    <w:p>
      <w:pPr>
        <w:spacing w:after="160"/>
      </w:pPr>
      <w:r>
        <w:rPr>
          <w:b/>
          <w:bCs/>
        </w:rPr>
        <w:t xml:space="preserve">Revenue estimate: </w:t>
      </w:r>
      <w:r>
        <w:t xml:space="preserve">At 5–10 orders per month in the first year (conservative for a niche audience), this generates $75–$300/month in gross revenue with ~$45–$180 net margin.</w:t>
      </w:r>
    </w:p>
    <w:p>
      <w:r>
        <w:br w:type="page"/>
      </w:r>
    </w:p>
    <w:p>
      <w:pPr>
        <w:pStyle w:val="Heading2"/>
      </w:pPr>
      <w:r>
        <w:t xml:space="preserve">5.2 AI Agent Marketplace: Turning AI into a Revenue Generator</w:t>
      </w:r>
    </w:p>
    <w:p>
      <w:pPr>
        <w:spacing w:after="160"/>
      </w:pPr>
      <w:r>
        <w:t xml:space="preserve">This is the highest-potential stream and the most innovative. The global AI agent market is projected to reach $52.6 billion by 2030. SageReasoning is uniquely positioned because it already has the infrastructure: a virtue-scoring API, a guardrail endpoint, and the Stoic Brain dataset.</w:t>
      </w:r>
    </w:p>
    <w:p>
      <w:pPr>
        <w:spacing w:after="160"/>
      </w:pPr>
      <w:r>
        <w:t xml:space="preserve">Rather than treating AI as purely a cost centre (paying for Claude API calls), SageReasoning can offer AI agents as paying customers of the reasoning engine. Here is how:</w:t>
      </w:r>
    </w:p>
    <w:p>
      <w:pPr>
        <w:pStyle w:val="Heading3"/>
      </w:pPr>
      <w:r>
        <w:t xml:space="preserve">Agent-to-Agent Revenue Model</w:t>
      </w:r>
    </w:p>
    <w:p>
      <w:pPr>
        <w:pStyle w:val="ListParagraph"/>
        <w:numPr>
          <w:ilvl w:val="0"/>
          <w:numId w:val="3"/>
        </w:numPr>
        <w:spacing w:after="100"/>
      </w:pPr>
      <w:r>
        <w:rPr>
          <w:b/>
          <w:bCs/>
        </w:rPr>
        <w:t xml:space="preserve">Virtue Guardrails as a Service. </w:t>
      </w:r>
      <w:r>
        <w:t xml:space="preserve">Other AI systems can call SageReasoning’s guardrail API before executing actions. An AI agent deciding whether to send an aggressive email checks with SageReasoning first. This is already built (/api/guardrail). The revenue comes from high-volume API usage by AI agent platforms.</w:t>
      </w:r>
    </w:p>
    <w:p>
      <w:pPr>
        <w:pStyle w:val="ListParagraph"/>
        <w:numPr>
          <w:ilvl w:val="0"/>
          <w:numId w:val="3"/>
        </w:numPr>
        <w:spacing w:after="100"/>
      </w:pPr>
      <w:r>
        <w:rPr>
          <w:b/>
          <w:bCs/>
        </w:rPr>
        <w:t xml:space="preserve">Decision Scoring for Autonomous Agents. </w:t>
      </w:r>
      <w:r>
        <w:t xml:space="preserve">AI agents making autonomous decisions (purchasing, scheduling, communication) can score their options through SageReasoning’s /api/score-decision endpoint. The agent submits 2–5 options and receives a virtue-weighted recommendation. This becomes a paid API service at $0.01–$0.02 per scored decision.</w:t>
      </w:r>
    </w:p>
    <w:p>
      <w:pPr>
        <w:pStyle w:val="ListParagraph"/>
        <w:numPr>
          <w:ilvl w:val="0"/>
          <w:numId w:val="3"/>
        </w:numPr>
        <w:spacing w:after="100"/>
      </w:pPr>
      <w:r>
        <w:rPr>
          <w:b/>
          <w:bCs/>
        </w:rPr>
        <w:t xml:space="preserve">MCP Server Integration. </w:t>
      </w:r>
      <w:r>
        <w:t xml:space="preserve">Building a Model Context Protocol (MCP) server wrapping the Stoic Brain API (already on your marketing roadmap) allows any Claude-compatible agent to access SageReasoning natively. Registration on Smithery and mcpmarket.com exposes the service to thousands of AI developers.</w:t>
      </w:r>
    </w:p>
    <w:p>
      <w:pPr>
        <w:pStyle w:val="ListParagraph"/>
        <w:numPr>
          <w:ilvl w:val="0"/>
          <w:numId w:val="3"/>
        </w:numPr>
        <w:spacing w:after="200"/>
      </w:pPr>
      <w:r>
        <w:rPr>
          <w:b/>
          <w:bCs/>
        </w:rPr>
        <w:t xml:space="preserve">Conversation Auditing. </w:t>
      </w:r>
      <w:r>
        <w:t xml:space="preserve">Enterprises deploying customer-facing AI agents can use /api/score-conversation to audit interactions for virtue alignment. This positions SageReasoning as an AI ethics compliance tool, which is becoming a regulatory requirement in the EU and Australia.</w:t>
      </w:r>
    </w:p>
    <w:p>
      <w:pPr>
        <w:spacing w:after="160"/>
      </w:pPr>
      <w:r>
        <w:rPr>
          <w:b/>
          <w:bCs/>
        </w:rPr>
        <w:t xml:space="preserve">Revenue estimate: </w:t>
      </w:r>
      <w:r>
        <w:t xml:space="preserve">Agent-to-agent API calls could scale significantly faster than human users. If 10 AI agent platforms each make 5,000 calls/month at $0.01 per call, that is $500/month from API revenue alone — before accounting for enterprise contracts. The MCP server is the critical enabler: prioritise its completion.</w:t>
      </w:r>
    </w:p>
    <w:p>
      <w:pPr>
        <w:spacing w:after="160"/>
      </w:pPr>
      <w:r>
        <w:rPr>
          <w:b/>
          <w:bCs/>
        </w:rPr>
        <w:t xml:space="preserve">Why this works philosophically: </w:t>
      </w:r>
      <w:r>
        <w:t xml:space="preserve">Providing ethical guardrails for AI systems is one of the most virtuous applications of Stoic reasoning. You are not selling a product — you are providing a moral compass for machines. This is directly aligned with Justice (ensuring AI treats humans fairly) and Wisdom (ensuring AI makes sound judgements).</w:t>
      </w:r>
    </w:p>
    <w:p>
      <w:r>
        <w:br w:type="page"/>
      </w:r>
    </w:p>
    <w:p>
      <w:pPr>
        <w:pStyle w:val="Heading2"/>
      </w:pPr>
      <w:r>
        <w:t xml:space="preserve">5.3 Enterprise and Institutional Licensing</w:t>
      </w:r>
    </w:p>
    <w:p>
      <w:pPr>
        <w:spacing w:after="160"/>
      </w:pPr>
      <w:r>
        <w:t xml:space="preserve">Headspace generates substantial revenue through B2B corporate wellness programmes serving over 2,700 organisations. SageReasoning can apply a similar model, scaled to its niche:</w:t>
      </w:r>
    </w:p>
    <w:p>
      <w:pPr>
        <w:pStyle w:val="Heading3"/>
      </w:pPr>
      <w:r>
        <w:t xml:space="preserve">Target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600"/>
        <w:gridCol w:w="1760"/>
      </w:tblGrid>
      <w:tr>
        <w:tc>
          <w:tcPr>
            <w:tcW w:type="dxa" w:w="22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38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16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Point</w:t>
            </w:r>
          </w:p>
        </w:tc>
        <w:tc>
          <w:tcPr>
            <w:tcW w:type="dxa" w:w="176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Philosophy Departments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University courses using the scoring engine for ethics assignments. Students score decisions and compare against Stoic reasoning.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$500–$2,000/year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Corporate Ethics Training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Companies using SageReasoning to train teams in ethical decision-making frameworks. Score real business decisions.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$2,000–$10,000/year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2–3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Development Teams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 building AI agents that need virtue-based guardrails. Bulk API access with dedicated support.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$1,000–$5,000/year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Therapy/Coaching Practices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Practitioners recommending SageReasoning’s journal as a structured reflection tool for clients (not therapy, but complementary practice).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$200–$500/year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2</w:t>
            </w:r>
          </w:p>
        </w:tc>
      </w:tr>
    </w:tbl>
    <w:p>
      <w:pPr>
        <w:spacing w:after="160"/>
      </w:pPr>
      <w:r>
        <w:t xml:space="preserve"/>
      </w:r>
    </w:p>
    <w:p>
      <w:pPr>
        <w:spacing w:after="160"/>
      </w:pPr>
      <w:r>
        <w:rPr>
          <w:b/>
          <w:bCs/>
        </w:rPr>
        <w:t xml:space="preserve">Important caveat: </w:t>
      </w:r>
      <w:r>
        <w:t xml:space="preserve">Enterprise licensing must not compromise the free tier. Institutions pay for convenience (admin dashboards, usage reports, bulk onboarding, priority support) — not for access to philosophy that should remain open.</w:t>
      </w:r>
    </w:p>
    <w:p>
      <w:pPr>
        <w:spacing w:after="160"/>
      </w:pPr>
      <w:r>
        <w:rPr>
          <w:b/>
          <w:bCs/>
        </w:rPr>
        <w:t xml:space="preserve">Revenue estimate: </w:t>
      </w:r>
      <w:r>
        <w:t xml:space="preserve">Even 3–5 institutional customers at modest price points adds $1,500–$10,000/year. This stream grows slowly but provides stable, predictable income.</w:t>
      </w:r>
    </w:p>
    <w:p>
      <w:r>
        <w:br w:type="page"/>
      </w:r>
    </w:p>
    <w:p>
      <w:pPr>
        <w:pStyle w:val="Heading2"/>
      </w:pPr>
      <w:r>
        <w:t xml:space="preserve">5.4 Structured Patronage Model</w:t>
      </w:r>
    </w:p>
    <w:p>
      <w:pPr>
        <w:spacing w:after="160"/>
      </w:pPr>
      <w:r>
        <w:t xml:space="preserve">The existing “Support the Agora” section on the pricing page is a good start but can be strengthened. Research into donation-based tech platforms reveals that 1–5% of users typically donate, with success depending on transparency, mission clarity, and low friction.</w:t>
      </w:r>
    </w:p>
    <w:p>
      <w:pPr>
        <w:spacing w:after="160"/>
      </w:pPr>
      <w:r>
        <w:t xml:space="preserve">The most Stoic-aligned patronage model draws from both ancient practice and modern transparent-funding platforms like Open Collective, where supporters can see exactly how funds are used.</w:t>
      </w:r>
    </w:p>
    <w:p>
      <w:pPr>
        <w:pStyle w:val="Heading3"/>
      </w:pPr>
      <w:r>
        <w:t xml:space="preserve">Proposed Patronage Structure</w:t>
      </w:r>
    </w:p>
    <w:p>
      <w:pPr>
        <w:pStyle w:val="ListParagraph"/>
        <w:numPr>
          <w:ilvl w:val="0"/>
          <w:numId w:val="4"/>
        </w:numPr>
        <w:spacing w:after="100"/>
      </w:pPr>
      <w:r>
        <w:rPr>
          <w:b/>
          <w:bCs/>
        </w:rPr>
        <w:t xml:space="preserve">Transparent Cost Breakdown. </w:t>
      </w:r>
      <w:r>
        <w:t xml:space="preserve">Publish a real-time (or monthly-updated) page showing operational costs: API expenses, hosting, insurance, legal. Let patrons see exactly what their money sustains. This is the Open Collective model and it builds deep trust.</w:t>
      </w:r>
    </w:p>
    <w:p>
      <w:pPr>
        <w:pStyle w:val="ListParagraph"/>
        <w:numPr>
          <w:ilvl w:val="0"/>
          <w:numId w:val="4"/>
        </w:numPr>
        <w:spacing w:after="100"/>
      </w:pPr>
      <w:r>
        <w:rPr>
          <w:b/>
          <w:bCs/>
        </w:rPr>
        <w:t xml:space="preserve">Named Patronage Tiers. </w:t>
      </w:r>
      <w:r>
        <w:t xml:space="preserve">Rather than dollar-amount tiers, name them after Stoic practices: “The Daily Practice” ($3/month), “The Examined Life” ($7/month), “Patron of the Stoa” ($15/month). These are voluntary and confer no extra features — only the satisfaction of sustaining the platform.</w:t>
      </w:r>
    </w:p>
    <w:p>
      <w:pPr>
        <w:pStyle w:val="ListParagraph"/>
        <w:numPr>
          <w:ilvl w:val="0"/>
          <w:numId w:val="4"/>
        </w:numPr>
        <w:spacing w:after="100"/>
      </w:pPr>
      <w:r>
        <w:rPr>
          <w:b/>
          <w:bCs/>
        </w:rPr>
        <w:t xml:space="preserve">One-Off Contributions. </w:t>
      </w:r>
      <w:r>
        <w:t xml:space="preserve">A simple “Buy the Sage a Coffee” button (via Buy Me a Coffee or Stripe’s one-time payment link) for users who want to contribute without committing to a subscription.</w:t>
      </w:r>
    </w:p>
    <w:p>
      <w:pPr>
        <w:pStyle w:val="ListParagraph"/>
        <w:numPr>
          <w:ilvl w:val="0"/>
          <w:numId w:val="4"/>
        </w:numPr>
        <w:spacing w:after="200"/>
      </w:pPr>
      <w:r>
        <w:rPr>
          <w:b/>
          <w:bCs/>
        </w:rPr>
        <w:t xml:space="preserve">Annual Transparency Report. </w:t>
      </w:r>
      <w:r>
        <w:t xml:space="preserve">Publish a yearly summary of how funds were used, what was built, and what is planned. This mirrors the accountability expected by ancient Stoic patrons and builds community trust.</w:t>
      </w:r>
    </w:p>
    <w:p>
      <w:pPr>
        <w:spacing w:after="160"/>
      </w:pPr>
      <w:r>
        <w:rPr>
          <w:b/>
          <w:bCs/>
        </w:rPr>
        <w:t xml:space="preserve">Revenue estimate: </w:t>
      </w:r>
      <w:r>
        <w:t xml:space="preserve">If SageReasoning reaches 1,000 registered users and 2–4% become patrons at an average of $5/month, that is $100–$200/month. This will not cover costs alone, but combined with other streams it contributes meaningfully and builds community ownership.</w:t>
      </w:r>
    </w:p>
    <w:p>
      <w:pPr>
        <w:pStyle w:val="Heading2"/>
      </w:pPr>
      <w:r>
        <w:t xml:space="preserve">5.5 Cost Optimisation: Reducing API Expenses</w:t>
      </w:r>
    </w:p>
    <w:p>
      <w:pPr>
        <w:spacing w:after="160"/>
      </w:pPr>
      <w:r>
        <w:t xml:space="preserve">Revenue is only half the equation. SageReasoning’s largest variable cost is the Anthropic Claude API ($100–$400/month at scale). Research into AI cost management reveals several strategies that could reduce this by 30–50%: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c>
          <w:tcPr>
            <w:tcW w:type="dxa" w:w="44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c>
          <w:tcPr>
            <w:tcW w:type="dxa" w:w="276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Potential Savings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Caching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Stoic Brain data, scoring rubrics, and virtue definitions are static context. Caching these reduces input token costs by up to 90% on repeated calls.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30–40% of total API cost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Selection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Haiku ($1/$5 per million tokens) for simple scoring and guardrail checks. Reserve Sonnet for complex document analysis and journal feedback.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20–40% reduction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Processing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Non-urgent operations (daily reflections, document scoring) can use Anthropic’s batch API at 50% cost reduction.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50% on eligible calls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Optimisation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JSON outputs, concise system prompts, and reusable templates reduce token usage per call.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 reduction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Free-Tier Rate Limiting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existing 5 actions/day limit is sensible. Implement it server-side to prevent abuse (currently noted as not yet enforced).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runaway costs</w:t>
            </w:r>
          </w:p>
        </w:tc>
      </w:tr>
    </w:tbl>
    <w:p>
      <w:pPr>
        <w:spacing w:after="160"/>
      </w:pPr>
      <w:r>
        <w:t xml:space="preserve"/>
      </w:r>
    </w:p>
    <w:p>
      <w:pPr>
        <w:spacing w:after="160"/>
      </w:pPr>
      <w:r>
        <w:rPr>
          <w:b/>
          <w:bCs/>
        </w:rPr>
        <w:t xml:space="preserve">Combined impact: </w:t>
      </w:r>
      <w:r>
        <w:t xml:space="preserve">Implementing prompt caching and model selection alone could reduce the API line from $100–$400/month to $50–$200/month, roughly halving the largest variable cost and lowering the break-even subscriber count from ~58 to ~30.</w:t>
      </w:r>
    </w:p>
    <w:p>
      <w:r>
        <w:br w:type="page"/>
      </w:r>
    </w:p>
    <w:p>
      <w:pPr>
        <w:pStyle w:val="Heading1"/>
      </w:pPr>
      <w:r>
        <w:t xml:space="preserve">6. Combined Revenue Projections</w:t>
      </w:r>
    </w:p>
    <w:p>
      <w:pPr>
        <w:spacing w:after="160"/>
      </w:pPr>
      <w:r>
        <w:t xml:space="preserve">The following table projects revenue across all streams, using conservative assumptions and organic growth only (no paid advertising, consistent with Stoic marketing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164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6</w:t>
            </w:r>
          </w:p>
        </w:tc>
        <w:tc>
          <w:tcPr>
            <w:tcW w:type="dxa" w:w="164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12</w:t>
            </w:r>
          </w:p>
        </w:tc>
        <w:tc>
          <w:tcPr>
            <w:tcW w:type="dxa" w:w="164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24</w:t>
            </w:r>
          </w:p>
        </w:tc>
        <w:tc>
          <w:tcPr>
            <w:tcW w:type="dxa" w:w="164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36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Prokoptos Subscriptions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$56–$140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$140–$420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$420–$1,260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$700–$2,100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Usage (Human Devs)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$10–$30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$30–$100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$100–$250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Usage (AI Agents)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$50–$200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$500–$2,000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Virtue Badges/Accessories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$25–$75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$75–$200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$150–$400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$200–$600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Enterprise Licensing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$200–$800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$500–$2,000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Patronage/Donations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$15–$40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$50–$150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$100–$300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$150–$500</w:t>
            </w:r>
          </w:p>
        </w:tc>
      </w:tr>
      <w:tr>
        <w:tc>
          <w:tcPr>
            <w:tcW w:type="dxa" w:w="2800"/>
            <w:tcBorders>
              <w:top w:val="single" w:color="CCCCCC" w:sz="1"/>
              <w:left w:val="single" w:color="CCCCCC" w:sz="1"/>
              <w:bottom w:val="single" w:color="CCCCCC" w:sz="1"/>
              <w:right w:val="single" w:color="CCCCCC" w:sz="1"/>
            </w:tcBorders>
            <w:shd w:fill="e8f0e8" w:color="auto" w:val="clear"/>
            <w:tcMar>
              <w:top w:type="dxa" w:w="80"/>
              <w:left w:type="dxa" w:w="120"/>
              <w:bottom w:type="dxa" w:w="80"/>
              <w:right w:type="dxa" w:w="120"/>
            </w:tcMar>
          </w:tcPr>
          <w:p>
            <w:r>
              <w:rPr>
                <w:rFonts w:ascii="Arial" w:cs="Arial" w:eastAsia="Arial" w:hAnsi="Arial"/>
                <w:b/>
                <w:bCs/>
                <w:sz w:val="20"/>
                <w:szCs w:val="20"/>
              </w:rPr>
              <w:t xml:space="preserve">TOTAL MONTHLY</w:t>
            </w:r>
          </w:p>
        </w:tc>
        <w:tc>
          <w:tcPr>
            <w:tcW w:type="dxa" w:w="1640"/>
            <w:tcBorders>
              <w:top w:val="single" w:color="CCCCCC" w:sz="1"/>
              <w:left w:val="single" w:color="CCCCCC" w:sz="1"/>
              <w:bottom w:val="single" w:color="CCCCCC" w:sz="1"/>
              <w:right w:val="single" w:color="CCCCCC" w:sz="1"/>
            </w:tcBorders>
            <w:shd w:fill="e8f0e8" w:color="auto" w:val="clear"/>
            <w:tcMar>
              <w:top w:type="dxa" w:w="80"/>
              <w:left w:type="dxa" w:w="120"/>
              <w:bottom w:type="dxa" w:w="80"/>
              <w:right w:type="dxa" w:w="120"/>
            </w:tcMar>
          </w:tcPr>
          <w:p>
            <w:r>
              <w:rPr>
                <w:rFonts w:ascii="Arial" w:cs="Arial" w:eastAsia="Arial" w:hAnsi="Arial"/>
                <w:b/>
                <w:bCs/>
                <w:sz w:val="20"/>
                <w:szCs w:val="20"/>
              </w:rPr>
              <w:t xml:space="preserve">$106–$335</w:t>
            </w:r>
          </w:p>
        </w:tc>
        <w:tc>
          <w:tcPr>
            <w:tcW w:type="dxa" w:w="1640"/>
            <w:tcBorders>
              <w:top w:val="single" w:color="CCCCCC" w:sz="1"/>
              <w:left w:val="single" w:color="CCCCCC" w:sz="1"/>
              <w:bottom w:val="single" w:color="CCCCCC" w:sz="1"/>
              <w:right w:val="single" w:color="CCCCCC" w:sz="1"/>
            </w:tcBorders>
            <w:shd w:fill="e8f0e8" w:color="auto" w:val="clear"/>
            <w:tcMar>
              <w:top w:type="dxa" w:w="80"/>
              <w:left w:type="dxa" w:w="120"/>
              <w:bottom w:type="dxa" w:w="80"/>
              <w:right w:type="dxa" w:w="120"/>
            </w:tcMar>
          </w:tcPr>
          <w:p>
            <w:r>
              <w:rPr>
                <w:rFonts w:ascii="Arial" w:cs="Arial" w:eastAsia="Arial" w:hAnsi="Arial"/>
                <w:b/>
                <w:bCs/>
                <w:sz w:val="20"/>
                <w:szCs w:val="20"/>
              </w:rPr>
              <w:t xml:space="preserve">$345–$1,270</w:t>
            </w:r>
          </w:p>
        </w:tc>
        <w:tc>
          <w:tcPr>
            <w:tcW w:type="dxa" w:w="1640"/>
            <w:tcBorders>
              <w:top w:val="single" w:color="CCCCCC" w:sz="1"/>
              <w:left w:val="single" w:color="CCCCCC" w:sz="1"/>
              <w:bottom w:val="single" w:color="CCCCCC" w:sz="1"/>
              <w:right w:val="single" w:color="CCCCCC" w:sz="1"/>
            </w:tcBorders>
            <w:shd w:fill="e8f0e8" w:color="auto" w:val="clear"/>
            <w:tcMar>
              <w:top w:type="dxa" w:w="80"/>
              <w:left w:type="dxa" w:w="120"/>
              <w:bottom w:type="dxa" w:w="80"/>
              <w:right w:type="dxa" w:w="120"/>
            </w:tcMar>
          </w:tcPr>
          <w:p>
            <w:r>
              <w:rPr>
                <w:rFonts w:ascii="Arial" w:cs="Arial" w:eastAsia="Arial" w:hAnsi="Arial"/>
                <w:b/>
                <w:bCs/>
                <w:sz w:val="20"/>
                <w:szCs w:val="20"/>
              </w:rPr>
              <w:t xml:space="preserve">$1,170–$3,510</w:t>
            </w:r>
          </w:p>
        </w:tc>
        <w:tc>
          <w:tcPr>
            <w:tcW w:type="dxa" w:w="1640"/>
            <w:tcBorders>
              <w:top w:val="single" w:color="CCCCCC" w:sz="1"/>
              <w:left w:val="single" w:color="CCCCCC" w:sz="1"/>
              <w:bottom w:val="single" w:color="CCCCCC" w:sz="1"/>
              <w:right w:val="single" w:color="CCCCCC" w:sz="1"/>
            </w:tcBorders>
            <w:shd w:fill="e8f0e8" w:color="auto" w:val="clear"/>
            <w:tcMar>
              <w:top w:type="dxa" w:w="80"/>
              <w:left w:type="dxa" w:w="120"/>
              <w:bottom w:type="dxa" w:w="80"/>
              <w:right w:type="dxa" w:w="120"/>
            </w:tcMar>
          </w:tcPr>
          <w:p>
            <w:r>
              <w:rPr>
                <w:rFonts w:ascii="Arial" w:cs="Arial" w:eastAsia="Arial" w:hAnsi="Arial"/>
                <w:b/>
                <w:bCs/>
                <w:sz w:val="20"/>
                <w:szCs w:val="20"/>
              </w:rPr>
              <w:t xml:space="preserve">$2,250–$7,700</w:t>
            </w:r>
          </w:p>
        </w:tc>
      </w:tr>
    </w:tbl>
    <w:p>
      <w:pPr>
        <w:spacing w:after="160"/>
      </w:pPr>
      <w:r>
        <w:t xml:space="preserve"/>
      </w:r>
    </w:p>
    <w:p>
      <w:pPr>
        <w:pStyle w:val="Heading3"/>
      </w:pPr>
      <w:r>
        <w:t xml:space="preserve">Projected Cost vs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164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6</w:t>
            </w:r>
          </w:p>
        </w:tc>
        <w:tc>
          <w:tcPr>
            <w:tcW w:type="dxa" w:w="164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12</w:t>
            </w:r>
          </w:p>
        </w:tc>
        <w:tc>
          <w:tcPr>
            <w:tcW w:type="dxa" w:w="164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24</w:t>
            </w:r>
          </w:p>
        </w:tc>
        <w:tc>
          <w:tcPr>
            <w:tcW w:type="dxa" w:w="164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36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Monthly Costs (optimised)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$80–$150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$150–$350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$250–$500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$350–$600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Monthly Revenue (mid est.)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r>
      <w:tr>
        <w:tc>
          <w:tcPr>
            <w:tcW w:type="dxa" w:w="280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r>
              <w:rPr>
                <w:rFonts w:ascii="Arial" w:cs="Arial" w:eastAsia="Arial" w:hAnsi="Arial"/>
                <w:b/>
                <w:bCs/>
                <w:sz w:val="20"/>
                <w:szCs w:val="20"/>
              </w:rPr>
              <w:t xml:space="preserve">Net Position</w:t>
            </w:r>
          </w:p>
        </w:tc>
        <w:tc>
          <w:tcPr>
            <w:tcW w:type="dxa" w:w="164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r>
              <w:rPr>
                <w:rFonts w:ascii="Arial" w:cs="Arial" w:eastAsia="Arial" w:hAnsi="Arial"/>
                <w:sz w:val="20"/>
                <w:szCs w:val="20"/>
              </w:rPr>
              <w:t xml:space="preserve">+$70–$140</w:t>
            </w:r>
          </w:p>
        </w:tc>
        <w:tc>
          <w:tcPr>
            <w:tcW w:type="dxa" w:w="164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r>
              <w:rPr>
                <w:rFonts w:ascii="Arial" w:cs="Arial" w:eastAsia="Arial" w:hAnsi="Arial"/>
                <w:sz w:val="20"/>
                <w:szCs w:val="20"/>
              </w:rPr>
              <w:t xml:space="preserve">+$450–$650</w:t>
            </w:r>
          </w:p>
        </w:tc>
        <w:tc>
          <w:tcPr>
            <w:tcW w:type="dxa" w:w="164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r>
              <w:rPr>
                <w:rFonts w:ascii="Arial" w:cs="Arial" w:eastAsia="Arial" w:hAnsi="Arial"/>
                <w:sz w:val="20"/>
                <w:szCs w:val="20"/>
              </w:rPr>
              <w:t xml:space="preserve">+$1,800–$2,050</w:t>
            </w:r>
          </w:p>
        </w:tc>
        <w:tc>
          <w:tcPr>
            <w:tcW w:type="dxa" w:w="164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r>
              <w:rPr>
                <w:rFonts w:ascii="Arial" w:cs="Arial" w:eastAsia="Arial" w:hAnsi="Arial"/>
                <w:sz w:val="20"/>
                <w:szCs w:val="20"/>
              </w:rPr>
              <w:t xml:space="preserve">+$4,400–$4,650</w:t>
            </w:r>
          </w:p>
        </w:tc>
      </w:tr>
    </w:tbl>
    <w:p>
      <w:pPr>
        <w:spacing w:after="160"/>
      </w:pPr>
      <w:r>
        <w:t xml:space="preserve"/>
      </w:r>
    </w:p>
    <w:p>
      <w:pPr>
        <w:spacing w:after="160"/>
      </w:pPr>
      <w:r>
        <w:rPr>
          <w:b/>
          <w:bCs/>
        </w:rPr>
        <w:t xml:space="preserve">Key insight: </w:t>
      </w:r>
      <w:r>
        <w:t xml:space="preserve">With diversified revenue and cost optimisation, SageReasoning can reach break-even by Month 3–4 and begin building a legal reserve by Month 6. The AI Agent API stream has the highest ceiling because it scales independently of human user growth.</w:t>
      </w:r>
    </w:p>
    <w:p>
      <w:r>
        <w:br w:type="page"/>
      </w:r>
    </w:p>
    <w:p>
      <w:pPr>
        <w:pStyle w:val="Heading1"/>
      </w:pPr>
      <w:r>
        <w:t xml:space="preserve">7. Revenue Models Evaluated and Rejected</w:t>
      </w:r>
    </w:p>
    <w:p>
      <w:pPr>
        <w:spacing w:after="160"/>
      </w:pPr>
      <w:r>
        <w:t xml:space="preserve">The following models were researched and deliberately excluded for philosophical or practical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36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Why Considered</w:t>
            </w:r>
          </w:p>
        </w:tc>
        <w:tc>
          <w:tcPr>
            <w:tcW w:type="dxa" w:w="356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Why Rejected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Advertising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Industry-standard revenue for free platforms.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Fundamentally incompatible with a virtue-reasoning platform. Advertising creates perverse incentives and undermines user trust. Already stated on the FAQ as a hard 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Selling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scoring data has market value for research.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Violates the Privacy Policy, Australian Privacy Act, and the Stoic principle of Justice. Users entrust their moral reflections to the platform.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Aggressive Upselling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conversion rates and revenue per user.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patterns and FOMO tactics contradict Temperance and Wisdom. The gamification strategy explicitly prohibits exploitative engagement.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Gated Core Philosophy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Locking Stoic Brain data or scoring behind a paywall.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Contradicts the MIT licence, the open-access mission, and the Stoic tradition of shared wisdom. This would destroy the brand.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Certification Programmes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Selling “Certified Stoic Practitioner” credentials.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of commodifying virtue and creating a credentialist hierarchy. Stoicism explicitly warns against valuing titles over character.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Affiliate Marketing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Earning commissions from recommended books/products.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conflicts of interest. Recommendations should be based on virtue, not revenue. Could be reconsidered later if handled with full transparency.</w:t>
            </w:r>
          </w:p>
        </w:tc>
      </w:tr>
    </w:tbl>
    <w:p>
      <w:r>
        <w:br w:type="page"/>
      </w:r>
    </w:p>
    <w:p>
      <w:pPr>
        <w:pStyle w:val="Heading1"/>
      </w:pPr>
      <w:r>
        <w:t xml:space="preserve">8. Implementation Priorities</w:t>
      </w:r>
    </w:p>
    <w:p>
      <w:pPr>
        <w:spacing w:after="160"/>
      </w:pPr>
      <w:r>
        <w:t xml:space="preserve">Revenue streams are ordered by a combination of philosophical alignment, implementation complexity, and speed to first revenue:</w:t>
      </w:r>
    </w:p>
    <w:p>
      <w:pPr>
        <w:pStyle w:val="ListParagraph"/>
        <w:numPr>
          <w:ilvl w:val="0"/>
          <w:numId w:val="5"/>
        </w:numPr>
        <w:spacing w:after="100"/>
      </w:pPr>
      <w:r>
        <w:rPr>
          <w:b/>
          <w:bCs/>
        </w:rPr>
        <w:t xml:space="preserve">Stripe Integration for Prokoptos Subscriptions (Week 5–8). </w:t>
      </w:r>
      <w:r>
        <w:t xml:space="preserve">This is already planned and is the most straightforward path to recurring revenue. Prioritise annual billing ($60/year) to reduce churn and per-transaction Stripe fees.</w:t>
      </w:r>
    </w:p>
    <w:p>
      <w:pPr>
        <w:pStyle w:val="ListParagraph"/>
        <w:numPr>
          <w:ilvl w:val="0"/>
          <w:numId w:val="5"/>
        </w:numPr>
        <w:spacing w:after="100"/>
      </w:pPr>
      <w:r>
        <w:rPr>
          <w:b/>
          <w:bCs/>
        </w:rPr>
        <w:t xml:space="preserve">API Cost Optimisation (Week 2–4). </w:t>
      </w:r>
      <w:r>
        <w:t xml:space="preserve">Implement prompt caching and model selection before scaling up. This effectively doubles the value of every revenue dollar by halving costs.</w:t>
      </w:r>
    </w:p>
    <w:p>
      <w:pPr>
        <w:pStyle w:val="ListParagraph"/>
        <w:numPr>
          <w:ilvl w:val="0"/>
          <w:numId w:val="5"/>
        </w:numPr>
        <w:spacing w:after="100"/>
      </w:pPr>
      <w:r>
        <w:rPr>
          <w:b/>
          <w:bCs/>
        </w:rPr>
        <w:t xml:space="preserve">MCP Server + API Marketplace (Week 4–8). </w:t>
      </w:r>
      <w:r>
        <w:t xml:space="preserve">Already on the marketing roadmap. Completing this unlocks the AI agent revenue stream and is the fastest path to scaling API revenue beyond human users.</w:t>
      </w:r>
    </w:p>
    <w:p>
      <w:pPr>
        <w:pStyle w:val="ListParagraph"/>
        <w:numPr>
          <w:ilvl w:val="0"/>
          <w:numId w:val="5"/>
        </w:numPr>
        <w:spacing w:after="100"/>
      </w:pPr>
      <w:r>
        <w:rPr>
          <w:b/>
          <w:bCs/>
        </w:rPr>
        <w:t xml:space="preserve">Patronage/Donation System (Week 6–10). </w:t>
      </w:r>
      <w:r>
        <w:t xml:space="preserve">Add a Buy Me a Coffee integration or Stripe one-time payment. Low development effort, immediate community-building value.</w:t>
      </w:r>
    </w:p>
    <w:p>
      <w:pPr>
        <w:pStyle w:val="ListParagraph"/>
        <w:numPr>
          <w:ilvl w:val="0"/>
          <w:numId w:val="5"/>
        </w:numPr>
        <w:spacing w:after="100"/>
      </w:pPr>
      <w:r>
        <w:rPr>
          <w:b/>
          <w:bCs/>
        </w:rPr>
        <w:t xml:space="preserve">Virtue Badges and Accessories (Month 3–4). </w:t>
      </w:r>
      <w:r>
        <w:t xml:space="preserve">Source a small-batch manufacturer or print-on-demand service. Start with the four virtue pin badges and the decision token. Minimal financial risk with strong brand reinforcement.</w:t>
      </w:r>
    </w:p>
    <w:p>
      <w:pPr>
        <w:pStyle w:val="ListParagraph"/>
        <w:numPr>
          <w:ilvl w:val="0"/>
          <w:numId w:val="5"/>
        </w:numPr>
        <w:spacing w:after="200"/>
      </w:pPr>
      <w:r>
        <w:rPr>
          <w:b/>
          <w:bCs/>
        </w:rPr>
        <w:t xml:space="preserve">Enterprise Licensing (Month 6–12). </w:t>
      </w:r>
      <w:r>
        <w:t xml:space="preserve">This requires a functioning product with demonstrated traction. Begin with outreach to philosophy departments and AI development teams once the API and MCP server are stable.</w:t>
      </w:r>
    </w:p>
    <w:p>
      <w:pPr>
        <w:pStyle w:val="Heading1"/>
      </w:pPr>
      <w:r>
        <w:t xml:space="preserve">9. Revenue-Related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2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96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Anthropic API price increase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cost increase affecting all scoring operations.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Diversify AI providers; abstract scoring logic to support multiple LLMs. Monitor Anthropic pricing updates.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Low conversion to Prokoptos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insufficient to cover costs.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revenue streams reduce dependence on any single source. The virtue badge and API streams provide fallback.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Legal action before reserve built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Costs exceed available funds.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Prioritise Pty Ltd registration and PI insurance (Priority 12). Maintain $5,000 minimum reserve from first revenue.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Scope creep on free tier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costs escalate from uncontrolled free usage.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server-side rate limiting immediately. The 5 actions/day limit is sensible but must be enforced.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Mission drift from revenue pressure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Compromising Stoic values for growth.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“Virtue Audit” of all revenue practices against the five principles in Section 2. If a stream fails the test, remove it.</w:t>
            </w:r>
          </w:p>
        </w:tc>
      </w:tr>
    </w:tbl>
    <w:p>
      <w:r>
        <w:br w:type="page"/>
      </w:r>
    </w:p>
    <w:p>
      <w:pPr>
        <w:pStyle w:val="Heading1"/>
      </w:pPr>
      <w:r>
        <w:t xml:space="preserve">10. Conclusion and Next Steps</w:t>
      </w:r>
    </w:p>
    <w:p>
      <w:pPr>
        <w:spacing w:after="160"/>
      </w:pPr>
      <w:r>
        <w:t xml:space="preserve">SageReasoning’s revenue strategy does not need to be complicated. The existing pricing tiers are well-designed and philosophically sound. The five additional streams proposed here — virtue accessories, AI agent marketplace, enterprise licensing, structured patronage, and cost optimisation — diversify income while staying true to the platform’s values.</w:t>
      </w:r>
    </w:p>
    <w:p>
      <w:pPr>
        <w:spacing w:after="160"/>
      </w:pPr>
      <w:r>
        <w:t xml:space="preserve">The single most important strategic insight from this research is the AI Agent Marketplace. While individual human subscriptions will grow steadily, AI agents represent a market that can scale independently and rapidly. Every AI system that integrates SageReasoning’s guardrails becomes both a customer and an ambassador for the platform’s approach to ethical reasoning.</w:t>
      </w:r>
    </w:p>
    <w:p>
      <w:pPr>
        <w:spacing w:after="160"/>
      </w:pPr>
      <w:r>
        <w:t xml:space="preserve">The immediate next steps are:</w:t>
      </w:r>
    </w:p>
    <w:p>
      <w:pPr>
        <w:pStyle w:val="ListParagraph"/>
        <w:numPr>
          <w:ilvl w:val="0"/>
          <w:numId w:val="6"/>
        </w:numPr>
        <w:spacing w:after="80"/>
      </w:pPr>
      <w:r>
        <w:t xml:space="preserve">Complete Pty Ltd registration and obtain PI insurance (Priority 12, prerequisite for all revenue).</w:t>
      </w:r>
    </w:p>
    <w:p>
      <w:pPr>
        <w:pStyle w:val="ListParagraph"/>
        <w:numPr>
          <w:ilvl w:val="0"/>
          <w:numId w:val="6"/>
        </w:numPr>
        <w:spacing w:after="80"/>
      </w:pPr>
      <w:r>
        <w:t xml:space="preserve">Implement API cost optimisation (prompt caching, model selection) to lower the break-even threshold.</w:t>
      </w:r>
    </w:p>
    <w:p>
      <w:pPr>
        <w:pStyle w:val="ListParagraph"/>
        <w:numPr>
          <w:ilvl w:val="0"/>
          <w:numId w:val="6"/>
        </w:numPr>
        <w:spacing w:after="80"/>
      </w:pPr>
      <w:r>
        <w:t xml:space="preserve">Integrate Stripe and launch Prokoptos subscriptions with annual billing.</w:t>
      </w:r>
    </w:p>
    <w:p>
      <w:pPr>
        <w:pStyle w:val="ListParagraph"/>
        <w:numPr>
          <w:ilvl w:val="0"/>
          <w:numId w:val="6"/>
        </w:numPr>
        <w:spacing w:after="80"/>
      </w:pPr>
      <w:r>
        <w:t xml:space="preserve">Build and register the MCP server to unlock AI agent revenue.</w:t>
      </w:r>
    </w:p>
    <w:p>
      <w:pPr>
        <w:pStyle w:val="ListParagraph"/>
        <w:numPr>
          <w:ilvl w:val="0"/>
          <w:numId w:val="6"/>
        </w:numPr>
        <w:spacing w:after="200"/>
      </w:pPr>
      <w:r>
        <w:t xml:space="preserve">Source virtue badge prototypes and establish a “Practice Tools” section on the site.</w:t>
      </w:r>
    </w:p>
    <w:p>
      <w:pPr>
        <w:spacing w:after="160"/>
      </w:pPr>
      <w:r>
        <w:t xml:space="preserve">Revenue is a preferred indifferent. SageReasoning needs it to survive and serve its mission, but the mission always comes first. Every pricing decision should be measured not by how much it generates, but by whether the Sage would approve of the exchange.</w:t>
      </w:r>
    </w:p>
    <w:p>
      <w:pPr>
        <w:spacing w:before="400"/>
      </w:pPr>
    </w:p>
    <w:p>
      <w:pPr>
        <w:pBdr>
          <w:top w:val="single" w:color="6b8f71" w:sz="2" w:space="8"/>
        </w:pBdr>
        <w:spacing w:before="200"/>
        <w:jc w:val="center"/>
      </w:pPr>
      <w:r>
        <w:rPr>
          <w:rFonts w:ascii="Arial" w:cs="Arial" w:eastAsia="Arial" w:hAnsi="Arial"/>
          <w:i/>
          <w:iCs/>
          <w:color w:val="3d5a3d"/>
          <w:sz w:val="22"/>
          <w:szCs w:val="22"/>
        </w:rPr>
        <w:t xml:space="preserve">“The object of life is not to be on the side of the majority, but to escape finding oneself in the ranks of the insane.” — Marcus Aurelius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8f71"/>
        <w:sz w:val="16"/>
        <w:szCs w:val="16"/>
      </w:rPr>
      <w:t xml:space="preserve">Page </w:t>
    </w:r>
    <w:r>
      <w:rPr>
        <w:rFonts w:ascii="Arial" w:cs="Arial" w:eastAsia="Arial" w:hAnsi="Arial"/>
        <w:color w:val="6b8f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8f71" w:sz="1" w:space="4"/>
      </w:pBdr>
    </w:pPr>
    <w:r>
      <w:rPr>
        <w:rFonts w:ascii="Arial" w:cs="Arial" w:eastAsia="Arial" w:hAnsi="Arial"/>
        <w:i/>
        <w:iCs/>
        <w:color w:val="6b8f71"/>
        <w:sz w:val="16"/>
        <w:szCs w:val="16"/>
      </w:rPr>
      <w:t xml:space="preserve">SageReasoning Revenue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e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d5a3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b8f7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2026-03-27T06:09:26.480Z</dcterms:created>
  <dcterms:modified xsi:type="dcterms:W3CDTF">2026-03-27T06:09:26.480Z</dcterms:modified>
</cp:coreProperties>
</file>

<file path=docProps/custom.xml><?xml version="1.0" encoding="utf-8"?>
<Properties xmlns="http://schemas.openxmlformats.org/officeDocument/2006/custom-properties" xmlns:vt="http://schemas.openxmlformats.org/officeDocument/2006/docPropsVTypes"/>
</file>