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B4F72"/>
          <w:sz w:val="48"/>
          <w:szCs w:val="48"/>
        </w:rPr>
        <w:t xml:space="preserve">SageReasoning</w:t>
      </w:r>
    </w:p>
    <w:p>
      <w:pPr>
        <w:spacing w:before="200"/>
        <w:jc w:val="center"/>
      </w:pPr>
      <w:r>
        <w:rPr>
          <w:rFonts w:ascii="Arial" w:cs="Arial" w:eastAsia="Arial" w:hAnsi="Arial"/>
          <w:color w:val="5D6D7E"/>
          <w:sz w:val="36"/>
          <w:szCs w:val="36"/>
        </w:rPr>
        <w:t xml:space="preserve">Evolving Compliance Pipeline</w:t>
      </w:r>
    </w:p>
    <w:p>
      <w:pPr>
        <w:spacing w:before="100"/>
        <w:jc w:val="center"/>
      </w:pPr>
      <w:r>
        <w:rPr>
          <w:rFonts w:ascii="Arial" w:cs="Arial" w:eastAsia="Arial" w:hAnsi="Arial"/>
          <w:color w:val="5D6D7E"/>
          <w:sz w:val="28"/>
          <w:szCs w:val="28"/>
        </w:rPr>
        <w:t xml:space="preserve">Recommendation &amp; Implementation Guide</w:t>
      </w:r>
    </w:p>
    <w:p>
      <w:pPr>
        <w:spacing w:before="600"/>
        <w:jc w:val="center"/>
      </w:pPr>
      <w:r>
        <w:rPr>
          <w:rFonts w:ascii="Arial" w:cs="Arial" w:eastAsia="Arial" w:hAnsi="Arial"/>
          <w:color w:val="7F8C8D"/>
          <w:sz w:val="22"/>
          <w:szCs w:val="22"/>
        </w:rPr>
        <w:t xml:space="preserve">Date: 4 April 2026  |  Status: RECOMMENDATION FOR APPROVAL</w:t>
      </w:r>
    </w:p>
    <w:p>
      <w:pPr>
        <w:spacing w:before="100"/>
        <w:jc w:val="center"/>
      </w:pPr>
      <w:r>
        <w:rPr>
          <w:rFonts w:ascii="Arial" w:cs="Arial" w:eastAsia="Arial" w:hAnsi="Arial"/>
          <w:color w:val="7F8C8D"/>
          <w:sz w:val="22"/>
          <w:szCs w:val="22"/>
        </w:rPr>
        <w:t xml:space="preserve">Applicable Manifest Rules: R0–R20 (all). R14–R16 added April 2026. R17–R20 added 5 April 2026 (Ethical Analysis).</w:t>
      </w:r>
    </w:p>
    <w:p>
      <w:r>
        <w:br w:type="page"/>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B4F72"/>
          <w:sz w:val="32"/>
          <w:szCs w:val="32"/>
        </w:rPr>
        <w:t xml:space="preserve">1. How the Mandate’s Compliance Requirements Were Derived</w:t>
      </w:r>
    </w:p>
    <w:p>
      <w:pPr>
        <w:spacing w:after="120"/>
      </w:pPr>
      <w:r>
        <w:rPr>
          <w:rFonts w:ascii="Arial" w:cs="Arial" w:eastAsia="Arial" w:hAnsi="Arial"/>
          <w:sz w:val="22"/>
          <w:szCs w:val="22"/>
        </w:rPr>
        <w:t xml:space="preserve">The governance rules in manifest.md (now R0–R20) were not drafted as abstract legal precautions. The original 13 rules (R1–R13) emerged through a specific, traceable derivation process across four distinct phases of the project’s development. R0 (Oikeiosis Principle) was elevated to foundation rule status. R14 (this pipeline) was added as procedural governance. R15–R16 govern Sage Ops operational boundaries and intelligence pipeline data. R17–R20 were derived from a critical ethical analysis of deployment risks (5 April 2026), addressing intimate data protection, honest certification, honest positioning, and active user protection. Understanding this derivation is essential to designing a pipeline that can extend it as regulations evolve.</w:t>
      </w:r>
    </w:p>
    <w:p>
      <w:pPr>
        <w:pStyle w:val="Heading2"/>
        <w:spacing w:after="120" w:before="240"/>
      </w:pPr>
      <w:r>
        <w:rPr>
          <w:rFonts w:ascii="Arial" w:cs="Arial" w:eastAsia="Arial" w:hAnsi="Arial"/>
          <w:b/>
          <w:bCs/>
          <w:color w:val="1B4F72"/>
          <w:sz w:val="28"/>
          <w:szCs w:val="28"/>
        </w:rPr>
        <w:t xml:space="preserve">1.1 Phase 1: Scope Exclusion (R1, R2)</w:t>
      </w:r>
    </w:p>
    <w:p>
      <w:pPr>
        <w:spacing w:after="120"/>
      </w:pPr>
      <w:r>
        <w:rPr>
          <w:rFonts w:ascii="Arial" w:cs="Arial" w:eastAsia="Arial" w:hAnsi="Arial"/>
          <w:sz w:val="22"/>
          <w:szCs w:val="22"/>
        </w:rPr>
        <w:t xml:space="preserve">R1 (No Therapeutic Implication) and R2 (No Employment Evaluation) were derived by identifying the two highest-liability domains where AI-driven reasoning evaluation could be misinterpreted. The Legal Revenue Business Plan explicitly removed mental health screening, anxiety assessment, depression tracking (R1) and resume scoring, interview simulation, job fit assessment (R2) from the product scope. The derivation logic was: identify categories where AI evaluation output could be reasonably interpreted as professional service delivery, then prohibit the entire category rather than attempting to mitigate within it. This was validated when the Use Cases Compliance Review (E7: sage-hire and E10: therapy backends) independently confirmed that even indirect use within these domains fails the ‘reasonable interpretation’ test.</w:t>
      </w:r>
    </w:p>
    <w:p>
      <w:pPr>
        <w:pStyle w:val="Heading2"/>
        <w:spacing w:after="120" w:before="240"/>
      </w:pPr>
      <w:r>
        <w:rPr>
          <w:rFonts w:ascii="Arial" w:cs="Arial" w:eastAsia="Arial" w:hAnsi="Arial"/>
          <w:b/>
          <w:bCs/>
          <w:color w:val="1B4F72"/>
          <w:sz w:val="28"/>
          <w:szCs w:val="28"/>
        </w:rPr>
        <w:t xml:space="preserve">1.2 Phase 2: Output Governance (R3, R4, R9)</w:t>
      </w:r>
    </w:p>
    <w:p>
      <w:pPr>
        <w:spacing w:after="120"/>
      </w:pPr>
      <w:r>
        <w:rPr>
          <w:rFonts w:ascii="Arial" w:cs="Arial" w:eastAsia="Arial" w:hAnsi="Arial"/>
          <w:sz w:val="22"/>
          <w:szCs w:val="22"/>
        </w:rPr>
        <w:t xml:space="preserve">R3 (Disclaimer), R4 (IP Protection), and R9 (No Outcome Promises) were derived from the AI Ethics Framework alignment section of the business plan. R3 ensures every evaluative output carries the agreed disclaimer text, creating a technical layer of defence against misuse claims. R4 protects the proprietary methodology by enforcing a server-side/client-side boundary: results are exposed, frameworks are not. R9 was derived from the recognition that philosophical evaluation and predictive claims are fundamentally incompatible; the system evaluates reasoning quality but cannot and must not promise that better reasoning produces better outcomes. These three rules together form the ‘output boundary’: what leaves the system, what stays inside, and what claims are never made.</w:t>
      </w:r>
    </w:p>
    <w:p>
      <w:pPr>
        <w:pStyle w:val="Heading2"/>
        <w:spacing w:after="120" w:before="240"/>
      </w:pPr>
      <w:r>
        <w:rPr>
          <w:rFonts w:ascii="Arial" w:cs="Arial" w:eastAsia="Arial" w:hAnsi="Arial"/>
          <w:b/>
          <w:bCs/>
          <w:color w:val="1B4F72"/>
          <w:sz w:val="28"/>
          <w:szCs w:val="28"/>
        </w:rPr>
        <w:t xml:space="preserve">1.3 Phase 3: Methodology Integrity (R6, R7, R8)</w:t>
      </w:r>
    </w:p>
    <w:p>
      <w:pPr>
        <w:spacing w:after="120"/>
      </w:pPr>
      <w:r>
        <w:rPr>
          <w:rFonts w:ascii="Arial" w:cs="Arial" w:eastAsia="Arial" w:hAnsi="Arial"/>
          <w:sz w:val="22"/>
          <w:szCs w:val="22"/>
        </w:rPr>
        <w:t xml:space="preserve">R6 (Methodology-First Derivation) was born from the V1 to V3 migration. V1 produced numeric virtue scores (0–100); V2 proved that copying V1 structure with V3 content produced inferior results. R6 codifies this lesson as five sub-rules preventing regression. R7 (Source Fidelity) ensures every concept traces to a primary ancient source, which is both a philosophical integrity requirement and a legal defensibility measure: the framework is grounded in 2,300-year-old public domain texts, not in novel claims that could be challenged. R8 (Glossary Enforcement) prevents terminology drift across four audience tiers, which is a compliance concern because inconsistent terminology between data files and user-facing content could undermine R3’s disclaimer effectiveness.</w:t>
      </w:r>
    </w:p>
    <w:p>
      <w:pPr>
        <w:pStyle w:val="Heading2"/>
        <w:spacing w:after="120" w:before="240"/>
      </w:pPr>
      <w:r>
        <w:rPr>
          <w:rFonts w:ascii="Arial" w:cs="Arial" w:eastAsia="Arial" w:hAnsi="Arial"/>
          <w:b/>
          <w:bCs/>
          <w:color w:val="1B4F72"/>
          <w:sz w:val="28"/>
          <w:szCs w:val="28"/>
        </w:rPr>
        <w:t xml:space="preserve">1.4 Phase 4: Ecosystem Governance (R5, R10, R11, R12, R13)</w:t>
      </w:r>
    </w:p>
    <w:p>
      <w:pPr>
        <w:spacing w:after="120"/>
      </w:pPr>
      <w:r>
        <w:rPr>
          <w:rFonts w:ascii="Arial" w:cs="Arial" w:eastAsia="Arial" w:hAnsi="Arial"/>
          <w:sz w:val="22"/>
          <w:szCs w:val="22"/>
        </w:rPr>
        <w:t xml:space="preserve">R5 (Free Tier Cost Guardrail) was derived from financial modelling to ensure the free tier does not create unsustainable cost exposure. R10–R13 were derived when the project expanded beyond a single API into a marketplace ecosystem. The Original Skills Marketplace Compliance Amendment reviewed all 16 proposed skills against R1–R9, found 3 failures and 4 edge cases, and the experience of that review prompted the creation of R10 (marketplace operations), R11 (wrapper distribution), R12 (original skill development), and R13 (embedding platform obligations). These rules exist because the compliance review demonstrated that without explicit ecosystem-level rules, third parties could inadvertently violate R1 or R2 through their use of SageReasoning infrastructure.</w:t>
      </w:r>
    </w:p>
    <w:p>
      <w:pPr>
        <w:pStyle w:val="Heading2"/>
        <w:spacing w:after="120" w:before="240"/>
      </w:pPr>
      <w:r>
        <w:rPr>
          <w:rFonts w:ascii="Arial" w:cs="Arial" w:eastAsia="Arial" w:hAnsi="Arial"/>
          <w:b/>
          <w:bCs/>
          <w:color w:val="1B4F72"/>
          <w:sz w:val="28"/>
          <w:szCs w:val="28"/>
        </w:rPr>
        <w:t xml:space="preserve">1.5 Derivation Pattern Summary</w:t>
      </w:r>
    </w:p>
    <w:p>
      <w:pPr>
        <w:spacing w:after="120"/>
      </w:pPr>
      <w:r>
        <w:rPr>
          <w:rFonts w:ascii="Arial" w:cs="Arial" w:eastAsia="Arial" w:hAnsi="Arial"/>
          <w:sz w:val="22"/>
          <w:szCs w:val="22"/>
        </w:rPr>
        <w:t xml:space="preserve">The pattern is consistent: every rule was derived from a specific failure mode identified during design, review, or testing. No rule was added speculatively. This is a strength for the existing ruleset but a vulnerability for future compliance, because the process is reactive (responds to identified issues) rather than proactive (anticipates regulatory change). The pipeline proposed below converts this reactive pattern into a scheduled, structured process.</w:t>
      </w:r>
    </w:p>
    <w:p>
      <w:r>
        <w:br w:type="page"/>
      </w:r>
    </w:p>
    <w:p>
      <w:pPr>
        <w:pStyle w:val="Heading1"/>
        <w:spacing w:after="120" w:before="360"/>
      </w:pPr>
      <w:r>
        <w:rPr>
          <w:rFonts w:ascii="Arial" w:cs="Arial" w:eastAsia="Arial" w:hAnsi="Arial"/>
          <w:b/>
          <w:bCs/>
          <w:color w:val="1B4F72"/>
          <w:sz w:val="32"/>
          <w:szCs w:val="32"/>
        </w:rPr>
        <w:t xml:space="preserve">2. The Regulatory Landscape SageReasoning Must Monitor</w:t>
      </w:r>
    </w:p>
    <w:p>
      <w:pPr>
        <w:spacing w:after="120"/>
      </w:pPr>
      <w:r>
        <w:rPr>
          <w:rFonts w:ascii="Arial" w:cs="Arial" w:eastAsia="Arial" w:hAnsi="Arial"/>
          <w:sz w:val="22"/>
          <w:szCs w:val="22"/>
        </w:rPr>
        <w:t xml:space="preserve">SageReasoning operates at the intersection of AI regulation, data protection, consumer law, financial services law, and intellectual property. The following regulatory domains require ongoing monitoring because they are either evolving rapidly or have upcoming enforcement milestones that could directly affect mandate rules.</w:t>
      </w:r>
    </w:p>
    <w:p>
      <w:pPr>
        <w:pStyle w:val="ListParagraph"/>
        <w:numPr>
          <w:ilvl w:val="0"/>
          <w:numId w:val="2"/>
        </w:numPr>
        <w:spacing w:after="80"/>
      </w:pPr>
      <w:r>
        <w:rPr>
          <w:rFonts w:ascii="Arial" w:cs="Arial" w:eastAsia="Arial" w:hAnsi="Arial"/>
          <w:b/>
          <w:bCs/>
          <w:sz w:val="22"/>
          <w:szCs w:val="22"/>
        </w:rPr>
        <w:t xml:space="preserve">EU AI Act (Regulation 2024/1689): </w:t>
      </w:r>
      <w:r>
        <w:rPr>
          <w:rFonts w:ascii="Arial" w:cs="Arial" w:eastAsia="Arial" w:hAnsi="Arial"/>
          <w:sz w:val="22"/>
          <w:szCs w:val="22"/>
        </w:rPr>
        <w:t xml:space="preserve">The full high-risk AI system requirements under Annex III come into force on 2 August 2026. SageReasoning likely falls outside high-risk classification because it evaluates reasoning quality rather than profiling individuals, but the classification guidance (due February 2026) could change this assessment. Penalties reach up to €35 million or 7% of global annual turnover.</w:t>
      </w:r>
    </w:p>
    <w:p>
      <w:pPr>
        <w:pStyle w:val="ListParagraph"/>
        <w:numPr>
          <w:ilvl w:val="0"/>
          <w:numId w:val="2"/>
        </w:numPr>
        <w:spacing w:after="80"/>
      </w:pPr>
      <w:r>
        <w:rPr>
          <w:rFonts w:ascii="Arial" w:cs="Arial" w:eastAsia="Arial" w:hAnsi="Arial"/>
          <w:b/>
          <w:bCs/>
          <w:sz w:val="22"/>
          <w:szCs w:val="22"/>
        </w:rPr>
        <w:t xml:space="preserve">Australia Voluntary AI Safety Standard (VAISS): </w:t>
      </w:r>
      <w:r>
        <w:rPr>
          <w:rFonts w:ascii="Arial" w:cs="Arial" w:eastAsia="Arial" w:hAnsi="Arial"/>
          <w:sz w:val="22"/>
          <w:szCs w:val="22"/>
        </w:rPr>
        <w:t xml:space="preserve">Currently voluntary (10 guardrails, published 2024). The Australian Government paused work on mandatory guardrails in late 2025, relying instead on existing law plus a new AI Safety Institute. However, conversion from voluntary to mandatory remains a live possibility, particularly for AI systems making evaluative assessments.</w:t>
      </w:r>
    </w:p>
    <w:p>
      <w:pPr>
        <w:pStyle w:val="ListParagraph"/>
        <w:numPr>
          <w:ilvl w:val="0"/>
          <w:numId w:val="2"/>
        </w:numPr>
        <w:spacing w:after="80"/>
      </w:pPr>
      <w:r>
        <w:rPr>
          <w:rFonts w:ascii="Arial" w:cs="Arial" w:eastAsia="Arial" w:hAnsi="Arial"/>
          <w:b/>
          <w:bCs/>
          <w:sz w:val="22"/>
          <w:szCs w:val="22"/>
        </w:rPr>
        <w:t xml:space="preserve">Australian Privacy Act 1988 (Reform): </w:t>
      </w:r>
      <w:r>
        <w:rPr>
          <w:rFonts w:ascii="Arial" w:cs="Arial" w:eastAsia="Arial" w:hAnsi="Arial"/>
          <w:sz w:val="22"/>
          <w:szCs w:val="22"/>
        </w:rPr>
        <w:t xml:space="preserve">A reform bill has been under consideration. Changes to the Australian Privacy Principles (APPs) could affect how SageReasoning handles personal information in journal entries, agent profiles, and evaluation data.</w:t>
      </w:r>
    </w:p>
    <w:p>
      <w:pPr>
        <w:pStyle w:val="ListParagraph"/>
        <w:numPr>
          <w:ilvl w:val="0"/>
          <w:numId w:val="2"/>
        </w:numPr>
        <w:spacing w:after="80"/>
      </w:pPr>
      <w:r>
        <w:rPr>
          <w:rFonts w:ascii="Arial" w:cs="Arial" w:eastAsia="Arial" w:hAnsi="Arial"/>
          <w:b/>
          <w:bCs/>
          <w:sz w:val="22"/>
          <w:szCs w:val="22"/>
        </w:rPr>
        <w:t xml:space="preserve">GDPR (EU Data Protection): </w:t>
      </w:r>
      <w:r>
        <w:rPr>
          <w:rFonts w:ascii="Arial" w:cs="Arial" w:eastAsia="Arial" w:hAnsi="Arial"/>
          <w:sz w:val="22"/>
          <w:szCs w:val="22"/>
        </w:rPr>
        <w:t xml:space="preserve">Relevant if SageReasoning serves EU users. Deferred security item D8 (delete/export endpoints) is a known gap. Article 22 (automated individual decision-making) could apply if agent evaluations are treated as decisions affecting individuals.</w:t>
      </w:r>
    </w:p>
    <w:p>
      <w:pPr>
        <w:pStyle w:val="ListParagraph"/>
        <w:numPr>
          <w:ilvl w:val="0"/>
          <w:numId w:val="2"/>
        </w:numPr>
        <w:spacing w:after="80"/>
      </w:pPr>
      <w:r>
        <w:rPr>
          <w:rFonts w:ascii="Arial" w:cs="Arial" w:eastAsia="Arial" w:hAnsi="Arial"/>
          <w:b/>
          <w:bCs/>
          <w:sz w:val="22"/>
          <w:szCs w:val="22"/>
        </w:rPr>
        <w:t xml:space="preserve">Australian Consumer Law (ACL): </w:t>
      </w:r>
      <w:r>
        <w:rPr>
          <w:rFonts w:ascii="Arial" w:cs="Arial" w:eastAsia="Arial" w:hAnsi="Arial"/>
          <w:sz w:val="22"/>
          <w:szCs w:val="22"/>
        </w:rPr>
        <w:t xml:space="preserve">R3 and R9 already mitigate misleading conduct and false representation risks. ACCC enforcement actions against AI companies would signal increased scrutiny.</w:t>
      </w:r>
    </w:p>
    <w:p>
      <w:pPr>
        <w:pStyle w:val="ListParagraph"/>
        <w:numPr>
          <w:ilvl w:val="0"/>
          <w:numId w:val="2"/>
        </w:numPr>
        <w:spacing w:after="80"/>
      </w:pPr>
      <w:r>
        <w:rPr>
          <w:rFonts w:ascii="Arial" w:cs="Arial" w:eastAsia="Arial" w:hAnsi="Arial"/>
          <w:b/>
          <w:bCs/>
          <w:sz w:val="22"/>
          <w:szCs w:val="22"/>
        </w:rPr>
        <w:t xml:space="preserve">AFSL (Australian Financial Services Licence): </w:t>
      </w:r>
      <w:r>
        <w:rPr>
          <w:rFonts w:ascii="Arial" w:cs="Arial" w:eastAsia="Arial" w:hAnsi="Arial"/>
          <w:sz w:val="22"/>
          <w:szCs w:val="22"/>
        </w:rPr>
        <w:t xml:space="preserve">The sage-invest edge case identified in the Marketplace Compliance Amendment. If SageReasoning output is interpreted as financial product advice, AFSL obligations apply.</w:t>
      </w:r>
    </w:p>
    <w:p>
      <w:pPr>
        <w:pStyle w:val="ListParagraph"/>
        <w:numPr>
          <w:ilvl w:val="0"/>
          <w:numId w:val="2"/>
        </w:numPr>
        <w:spacing w:after="80"/>
      </w:pPr>
      <w:r>
        <w:rPr>
          <w:rFonts w:ascii="Arial" w:cs="Arial" w:eastAsia="Arial" w:hAnsi="Arial"/>
          <w:b/>
          <w:bCs/>
          <w:sz w:val="22"/>
          <w:szCs w:val="22"/>
        </w:rPr>
        <w:t xml:space="preserve">ISO/IEC 42001 &amp; NIST AI RMF: </w:t>
      </w:r>
      <w:r>
        <w:rPr>
          <w:rFonts w:ascii="Arial" w:cs="Arial" w:eastAsia="Arial" w:hAnsi="Arial"/>
          <w:sz w:val="22"/>
          <w:szCs w:val="22"/>
        </w:rPr>
        <w:t xml:space="preserve">Voluntary standards that provide a compliance vocabulary and structure. Not legally binding but increasingly referenced in procurement requirements and due diligence.</w:t>
      </w:r>
    </w:p>
    <w:p>
      <w:pPr>
        <w:pStyle w:val="ListParagraph"/>
        <w:numPr>
          <w:ilvl w:val="0"/>
          <w:numId w:val="2"/>
        </w:numPr>
        <w:spacing w:after="80"/>
      </w:pPr>
      <w:r>
        <w:rPr>
          <w:rFonts w:ascii="Arial" w:cs="Arial" w:eastAsia="Arial" w:hAnsi="Arial"/>
          <w:b/>
          <w:bCs/>
          <w:sz w:val="22"/>
          <w:szCs w:val="22"/>
        </w:rPr>
        <w:t xml:space="preserve">IP and Patent Law: </w:t>
      </w:r>
      <w:r>
        <w:rPr>
          <w:rFonts w:ascii="Arial" w:cs="Arial" w:eastAsia="Arial" w:hAnsi="Arial"/>
          <w:sz w:val="22"/>
          <w:szCs w:val="22"/>
        </w:rPr>
        <w:t xml:space="preserve">Patent filing planned for Q2 2026. Ongoing monitoring of competitor ‘Stoic AI’ claims and potential IP challenges.</w:t>
      </w:r>
    </w:p>
    <w:p>
      <w:r>
        <w:br w:type="page"/>
      </w:r>
    </w:p>
    <w:p>
      <w:pPr>
        <w:pStyle w:val="Heading1"/>
        <w:spacing w:after="120" w:before="360"/>
      </w:pPr>
      <w:r>
        <w:rPr>
          <w:rFonts w:ascii="Arial" w:cs="Arial" w:eastAsia="Arial" w:hAnsi="Arial"/>
          <w:b/>
          <w:bCs/>
          <w:color w:val="1B4F72"/>
          <w:sz w:val="32"/>
          <w:szCs w:val="32"/>
        </w:rPr>
        <w:t xml:space="preserve">3. The Compliance Register</w:t>
      </w:r>
    </w:p>
    <w:p>
      <w:pPr>
        <w:spacing w:after="120"/>
      </w:pPr>
      <w:r>
        <w:rPr>
          <w:rFonts w:ascii="Arial" w:cs="Arial" w:eastAsia="Arial" w:hAnsi="Arial"/>
          <w:sz w:val="22"/>
          <w:szCs w:val="22"/>
        </w:rPr>
        <w:t xml:space="preserve">The compliance register is the central data structure that the pipeline reads and writes. Each row represents a single external obligation mapped to the mandate rules it affects. The register is stored as compliance_register.json in the project root and rendered below as a reference table.</w:t>
      </w:r>
    </w:p>
    <w:p>
      <w:pPr>
        <w:spacing w:after="120"/>
      </w:pPr>
      <w:r>
        <w:rPr>
          <w:rFonts w:ascii="Arial" w:cs="Arial" w:eastAsia="Arial" w:hAnsi="Arial"/>
          <w:sz w:val="22"/>
          <w:szCs w:val="22"/>
        </w:rPr>
        <w:t xml:space="preserve">This register uses field conventions drawn from ISO 42001 (AI management system risk registers), NIST AI RMF (Map/Measure/Manage/Govern structure), and standard GRC (Governance, Risk, Compliance) register design. The status field uses a controlled vocabulary: COMPLIANT, ALIGNED (voluntary standard met), MONITORING (obligation exists but classification uncertain), PARTIAL (some controls in place), DEFERRED (known gap, planned), PLANNED (action identified but not started), DESIGNED (process documented but not implemented), DRAFTED (text prepared but not deployed), NOT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800"/>
        <w:gridCol w:w="900"/>
        <w:gridCol w:w="850"/>
        <w:gridCol w:w="900"/>
        <w:gridCol w:w="750"/>
        <w:gridCol w:w="2860"/>
      </w:tblGrid>
      <w:tr>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Obligation</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Mandate Rules</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External Ref</w:t>
            </w:r>
          </w:p>
        </w:tc>
        <w:tc>
          <w:tcPr>
            <w:tcW w:type="dxa" w:w="85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Effective Date</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5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Review Cycle</w:t>
            </w:r>
          </w:p>
        </w:tc>
        <w:tc>
          <w:tcPr>
            <w:tcW w:type="dxa" w:w="2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 &amp; Actions</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CR-001</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EU AI Act — High-Risk Classification</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R1, R2, R3</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Art. 6, Annex III</w:t>
            </w:r>
          </w:p>
        </w:tc>
        <w:tc>
          <w:tcPr>
            <w:tcW w:type="dxa" w:w="8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 Aug 2026</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MONITORING</w:t>
            </w:r>
          </w:p>
        </w:tc>
        <w:tc>
          <w:tcPr>
            <w:tcW w:type="dxa" w:w="7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Quarterly</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SageReasoning evaluates reasoning quality, not persons. Profiling exemption applies if no personal data profiling occurs. Monitor reclassification guidance.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CR-002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 AI Act — Transparency Obligations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R3, R4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 50</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Aug 2025 (in force)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COMPLIANT</w:t>
            </w:r>
          </w:p>
        </w:tc>
        <w:tc>
          <w:tcPr>
            <w:tcW w:type="dxa" w:w="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R3 disclaimer satisfies Art. 50 transparency. API responses identify AI-generated content. Review if obligations expand.</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CR-003</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EU AI Act — GPAI Model Obligations</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R4, R7</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Art. 51–53</w:t>
            </w:r>
          </w:p>
        </w:tc>
        <w:tc>
          <w:tcPr>
            <w:tcW w:type="dxa" w:w="8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 Aug 2025 (in force)</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NOT APPLICABLE</w:t>
            </w:r>
          </w:p>
        </w:tc>
        <w:tc>
          <w:tcPr>
            <w:tcW w:type="dxa" w:w="7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Quarterly</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SageReasoning uses third-party GPAI (Claude); does not train or distribute its own foundation model. Monitor if ‘downstream deployer’ obligations emerge.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CR-004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Australia VAISS — 10 Guardrails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 R3, R9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Guardrails 1–10</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Voluntary (2024)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ALIGNED</w:t>
            </w:r>
          </w:p>
        </w:tc>
        <w:tc>
          <w:tcPr>
            <w:tcW w:type="dxa" w:w="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Semi-annual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Voluntary standard. SageReasoning aligns with guardrails on transparency, accountability, and human oversight. Monitor for mandatory conversion.</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CR-005</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Australia — Existing Law (Privacy Act 1988)</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R1, R2</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APPs 1–13</w:t>
            </w:r>
          </w:p>
        </w:tc>
        <w:tc>
          <w:tcPr>
            <w:tcW w:type="dxa" w:w="8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 force</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COMPLIANT</w:t>
            </w:r>
          </w:p>
        </w:tc>
        <w:tc>
          <w:tcPr>
            <w:tcW w:type="dxa" w:w="7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Semi-annual</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Personal information handling via Supabase. APP 6 (use/disclosure) and APP 11 (security) covered by RLS and encryption. Monitor Privacy Act reform bill.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CR-006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Australia — Consumer Law (ACL)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R3, R9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 2, Part 2-1</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force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COMPLIANT</w:t>
            </w:r>
          </w:p>
        </w:tc>
        <w:tc>
          <w:tcPr>
            <w:tcW w:type="dxa" w:w="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R3 disclaimer prevents misleading conduct (s18 ACL). R9 prevents false representations (s29 ACL). Monitor ACCC AI enforcement actions.</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CR-007</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ISO/IEC 42001 — AI Management System</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All</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Annex A controls</w:t>
            </w:r>
          </w:p>
        </w:tc>
        <w:tc>
          <w:tcPr>
            <w:tcW w:type="dxa" w:w="8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Voluntary</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PARTIAL</w:t>
            </w:r>
          </w:p>
        </w:tc>
        <w:tc>
          <w:tcPr>
            <w:tcW w:type="dxa" w:w="7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Annual</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Manifest rules map to several Annex A controls. Full certification not pursued at launch. Use as aspirational benchmark. Consider certification at scale.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CR-008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NIST AI RMF — Risk Management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 R2, R3, R9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 Measure, Manage, Govern</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Voluntary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ALIGNED</w:t>
            </w:r>
          </w:p>
        </w:tc>
        <w:tc>
          <w:tcPr>
            <w:tcW w:type="dxa" w:w="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R1–R2 scope restrictions = risk mitigation. R3 = transparency. R9 = accuracy of claims. Use NIST vocabulary in risk documentation.</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CR-009</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GDPR — Data Protection (EU users)</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R1, R2</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Art. 5, 6, 9, 22, 35</w:t>
            </w:r>
          </w:p>
        </w:tc>
        <w:tc>
          <w:tcPr>
            <w:tcW w:type="dxa" w:w="8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 force</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DEFERRED</w:t>
            </w:r>
          </w:p>
        </w:tc>
        <w:tc>
          <w:tcPr>
            <w:tcW w:type="dxa" w:w="7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Quarterly</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Deferred item D8 in Security Audit: GDPR delete/export endpoints. No EU marketing at launch. Implement before EU expansion.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CR-010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Services — AFSL Risk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R3, R9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Corporations Act 2001 s911A</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force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MONITORING</w:t>
            </w:r>
          </w:p>
        </w:tc>
        <w:tc>
          <w:tcPr>
            <w:tcW w:type="dxa" w:w="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Semi-annual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sage-invest edge case. R3 disclaimer + R9 no-outcome-promises mitigate but do not eliminate AFSL risk. Lawyer review required before marketplace listing.</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CR-011</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Professional Indemnity — AI Evaluation Errors</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R1, R3, R9</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Insurance contract</w:t>
            </w:r>
          </w:p>
        </w:tc>
        <w:tc>
          <w:tcPr>
            <w:tcW w:type="dxa" w:w="8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Annual renewal</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PLANNED</w:t>
            </w:r>
          </w:p>
        </w:tc>
        <w:tc>
          <w:tcPr>
            <w:tcW w:type="dxa" w:w="7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Annual</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Business plan allocates ~$1,200/yr. Not yet purchased. Must be in place before public launch.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CR-012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Cyber Insurance — Data Breach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Insurance contract</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 renewal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c>
          <w:tcPr>
            <w:tcW w:type="dxa" w:w="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plan allocates ~$600/yr. Not yet purchased. Must be in place before public launch.</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CR-013</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IP Protection — Patent Filing</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R4</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Patent application</w:t>
            </w:r>
          </w:p>
        </w:tc>
        <w:tc>
          <w:tcPr>
            <w:tcW w:type="dxa" w:w="8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Q2 2026 target</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PLANNED</w:t>
            </w:r>
          </w:p>
        </w:tc>
        <w:tc>
          <w:tcPr>
            <w:tcW w:type="dxa" w:w="7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Semi-annual</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Patent pending on philosophical evaluation framework architecture. File before public API launch.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CR-014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Embedding Platform Compliance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ToS Section (new)</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Pre-launch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DRAFTED</w:t>
            </w:r>
          </w:p>
        </w:tc>
        <w:tc>
          <w:tcPr>
            <w:tcW w:type="dxa" w:w="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R13 created. ToS embedding section drafted in Policy Amendments doc. Not yet implemented in code.</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CR-015</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Marketplace Skill Certification</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R10, R12</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Internal process</w:t>
            </w:r>
          </w:p>
        </w:tc>
        <w:tc>
          <w:tcPr>
            <w:tcW w:type="dxa" w:w="8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Pre-launch</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DESIGNED</w:t>
            </w:r>
          </w:p>
        </w:tc>
        <w:tc>
          <w:tcPr>
            <w:tcW w:type="dxa" w:w="7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Per-release</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Compliance matrix created (6A in Marketplace Compliance Amendment). 9/16 skills pass. 3 fail, 4 edge cases documented.</w:t>
            </w:r>
          </w:p>
        </w:tc>
      </w:tr>
    </w:tbl>
    <w:p>
      <w:r>
        <w:br w:type="page"/>
      </w:r>
    </w:p>
    <w:p>
      <w:pPr>
        <w:pStyle w:val="Heading1"/>
        <w:spacing w:after="120" w:before="360"/>
      </w:pPr>
      <w:r>
        <w:rPr>
          <w:rFonts w:ascii="Arial" w:cs="Arial" w:eastAsia="Arial" w:hAnsi="Arial"/>
          <w:b/>
          <w:bCs/>
          <w:color w:val="1B4F72"/>
          <w:sz w:val="32"/>
          <w:szCs w:val="32"/>
        </w:rPr>
        <w:t xml:space="preserve">4. Place-Marker Fields for Compliance-Bearing Files</w:t>
      </w:r>
    </w:p>
    <w:p>
      <w:pPr>
        <w:spacing w:after="120"/>
      </w:pPr>
      <w:r>
        <w:rPr>
          <w:rFonts w:ascii="Arial" w:cs="Arial" w:eastAsia="Arial" w:hAnsi="Arial"/>
          <w:sz w:val="22"/>
          <w:szCs w:val="22"/>
        </w:rPr>
        <w:t xml:space="preserve">Place-marker fields are structured metadata embedded in each file that has compliance obligations. They serve two purposes: they make it possible for the pipeline to programmatically identify which files need review when a regulation changes, and they create an audit trail showing when each file was last reviewed and by whom.</w:t>
      </w:r>
    </w:p>
    <w:p>
      <w:pPr>
        <w:spacing w:after="120"/>
      </w:pPr>
      <w:r>
        <w:rPr>
          <w:rFonts w:ascii="Arial" w:cs="Arial" w:eastAsia="Arial" w:hAnsi="Arial"/>
          <w:sz w:val="22"/>
          <w:szCs w:val="22"/>
        </w:rPr>
        <w:t xml:space="preserve">The field naming convention follows ISO 42001 Annex A control mapping vocabulary and GRC register standards. Fields are embedded differently depending on file type: YAML frontmatter for .md files, JSDoc comment blocks for .ts files, HTML comments for .tsx policy pages, and native JSON structure for .json configuration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000"/>
        <w:gridCol w:w="1200"/>
        <w:gridCol w:w="31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compliance_version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Version of compliance check that last validated this file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manifest.md, all policy files</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e.g. "CR-2026-Q2-v1"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last_regulatory_review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8601 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of last scheduled compliance review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manifest.md, ToS, Privacy Policy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"2026-07-01"</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applicable_jurisdictions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Jurisdictions this file’s obligations cover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ToS, Privacy Policy, LICENSE</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e.g. ["AU", "EU", "US"]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regulatory_references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regulations mapped to this file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compliance-bearing files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[{"id": "CR-001", "status": "MONITORING"}]</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review_cycle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How often this file must be re-reviewed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All compliance-bearing files</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quarterly | semi-annual | annual | per-release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 or role responsible for compliance of this file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compliance-bearing files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"founder" or "legal-counsel"</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next_review_due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ISO 8601 date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When the next compliance review is due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All compliance-bearing files</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e.g. "2026-10-01"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change_trigger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events that force an out-of-cycle review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compliance-bearing files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["EU AI Act amendment", "AU Privacy Act reform"]</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deprecation_flag</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Boolean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Whether this file contains language superseded by regulation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Policy files, LICENSE</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Set true when regulatory change invalidates current text</w:t>
            </w:r>
          </w:p>
        </w:tc>
      </w:tr>
    </w:tbl>
    <w:p>
      <w:pPr>
        <w:pStyle w:val="Heading3"/>
        <w:spacing w:after="120" w:before="240"/>
      </w:pPr>
      <w:r>
        <w:rPr>
          <w:rFonts w:ascii="Arial" w:cs="Arial" w:eastAsia="Arial" w:hAnsi="Arial"/>
          <w:b/>
          <w:bCs/>
          <w:color w:val="1B4F72"/>
          <w:sz w:val="24"/>
          <w:szCs w:val="24"/>
        </w:rPr>
        <w:t xml:space="preserve">4.1 Implementation by File Type</w:t>
      </w:r>
    </w:p>
    <w:p>
      <w:pPr>
        <w:spacing w:after="120"/>
      </w:pPr>
      <w:r>
        <w:rPr>
          <w:rFonts w:ascii="Arial" w:cs="Arial" w:eastAsia="Arial" w:hAnsi="Arial"/>
          <w:sz w:val="22"/>
          <w:szCs w:val="22"/>
        </w:rPr>
        <w:t xml:space="preserve">For manifest.md, add a YAML frontmatter block at the top of the file (before the existing title) containing all nine fields. The pipeline reads this block to determine review status. For TypeScript files in sage-mentor/, add a JSDoc comment block at the top of each file. For the Terms of Service and Privacy Policy .tsx files, add an HTML comment block. For JSON configuration files, add a top-level _compliance object. The compliance_register.json file itself does not need place-marker fields because it is the register.</w:t>
      </w:r>
    </w:p>
    <w:p>
      <w:r>
        <w:br w:type="page"/>
      </w:r>
    </w:p>
    <w:p>
      <w:pPr>
        <w:pStyle w:val="Heading1"/>
        <w:spacing w:after="120" w:before="360"/>
      </w:pPr>
      <w:r>
        <w:rPr>
          <w:rFonts w:ascii="Arial" w:cs="Arial" w:eastAsia="Arial" w:hAnsi="Arial"/>
          <w:b/>
          <w:bCs/>
          <w:color w:val="1B4F72"/>
          <w:sz w:val="32"/>
          <w:szCs w:val="32"/>
        </w:rPr>
        <w:t xml:space="preserve">5. The Compliance Pipeline</w:t>
      </w:r>
    </w:p>
    <w:p>
      <w:pPr>
        <w:spacing w:after="120"/>
      </w:pPr>
      <w:r>
        <w:rPr>
          <w:rFonts w:ascii="Arial" w:cs="Arial" w:eastAsia="Arial" w:hAnsi="Arial"/>
          <w:sz w:val="22"/>
          <w:szCs w:val="22"/>
        </w:rPr>
        <w:t xml:space="preserve">The pipeline is a 7-stage process that runs on a quarterly cycle (aligned with the EU AI Act review cadence) with the ability to trigger out-of-cycle runs when a significant regulatory event is detected. The pipeline is designed to be executed as a Cowork scheduled task, producing a structured output that populates the compliance register and flags files requiring amendment.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200"/>
        <w:gridCol w:w="1200"/>
        <w:gridCol w:w="1200"/>
        <w:gridCol w:w="2360"/>
      </w:tblGrid>
      <w:t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Execution Mode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Regulatory Scan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Web search for changes to EU AI Act, AU AI policy, GDPR, NIST AI RMF, ISO 42001, and AFSL guidance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Automated (scheduled task)</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Quarterly</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List of regulatory changes with summaries and links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Impact Assessment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 each regulatory change to affected CR-IDs and mandate rules. Classify impact as None, Minor (wording), Major (structural), or Critical (blocks operation)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Assisted (Claude + founder review)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scan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Impact matrix: change → CR-ID → affected files → severity</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Register Update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Update compliance_register.json with new statuses, notes, and next_review_due dates. Add new CR-IDs if new obligations discovered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Assisted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Per scan</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Updated compliance_register.json committed to repo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File-Level Review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each affected file, check place-marker fields against new obligations. Flag deprecated language. Draft amendment 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Assisted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affected file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Amendment drafts with tracked changes or PR</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Mandate Revision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If register changes affect R0–R20 scope or introduce a new rule (R21+), draft manifest.md amendment for founder approval</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Manual (founder decision)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As needed</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Proposed manifest diff for approval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Codebase Compliance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existing P*.md-style compliance review against any code files affected by the updated rules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Assisted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code change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 review report (same format as P8.8)</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7</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Audit Trail</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Log the full pipeline run: date, regulatory changes found, impact assessments, register updates, file amendments, mandate revisions, sign-off</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Automated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Per run</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Append to compliance_audit_log.json</w:t>
            </w:r>
          </w:p>
        </w:tc>
      </w:tr>
    </w:tbl>
    <w:p>
      <w:pPr>
        <w:pStyle w:val="Heading2"/>
        <w:spacing w:after="120" w:before="240"/>
      </w:pPr>
      <w:r>
        <w:rPr>
          <w:rFonts w:ascii="Arial" w:cs="Arial" w:eastAsia="Arial" w:hAnsi="Arial"/>
          <w:b/>
          <w:bCs/>
          <w:color w:val="1B4F72"/>
          <w:sz w:val="28"/>
          <w:szCs w:val="28"/>
        </w:rPr>
        <w:t xml:space="preserve">5.1 Scheduled Execution</w:t>
      </w:r>
    </w:p>
    <w:p>
      <w:pPr>
        <w:spacing w:after="120"/>
      </w:pPr>
      <w:r>
        <w:rPr>
          <w:rFonts w:ascii="Arial" w:cs="Arial" w:eastAsia="Arial" w:hAnsi="Arial"/>
          <w:sz w:val="22"/>
          <w:szCs w:val="22"/>
        </w:rPr>
        <w:t xml:space="preserve">The pipeline runs as a Cowork scheduled task on the first Monday of each quarter (January, April, July, October). The task prompt instructs Claude to execute all seven stages sequentially, reading the current compliance_register.json as input and producing an updated version as output. The founder receives a notification on completion and reviews the impact assessment before approving any register updates, file amendments, or mandate revisions.</w:t>
      </w:r>
    </w:p>
    <w:p>
      <w:pPr>
        <w:pStyle w:val="Heading2"/>
        <w:spacing w:after="120" w:before="240"/>
      </w:pPr>
      <w:r>
        <w:rPr>
          <w:rFonts w:ascii="Arial" w:cs="Arial" w:eastAsia="Arial" w:hAnsi="Arial"/>
          <w:b/>
          <w:bCs/>
          <w:color w:val="1B4F72"/>
          <w:sz w:val="28"/>
          <w:szCs w:val="28"/>
        </w:rPr>
        <w:t xml:space="preserve">5.2 Out-of-Cycle Triggers</w:t>
      </w:r>
    </w:p>
    <w:p>
      <w:pPr>
        <w:spacing w:after="120"/>
      </w:pPr>
      <w:r>
        <w:rPr>
          <w:rFonts w:ascii="Arial" w:cs="Arial" w:eastAsia="Arial" w:hAnsi="Arial"/>
          <w:sz w:val="22"/>
          <w:szCs w:val="22"/>
        </w:rPr>
        <w:t xml:space="preserve">Certain events should trigger an immediate pipeline run outside the quarterly schedule. These include: publication of EU AI Act classification guidance (expected February 2026), any Australian Government announcement converting VAISS guardrails from voluntary to mandatory, passage of the Australian Privacy Act reform bill, any ACCC enforcement action against an AI evaluation service, and any legal correspondence or cease-and-desist relating to SageReasoning’s IP or operations. The founder can trigger a manual run at any time by invoking the scheduled task.</w:t>
      </w:r>
    </w:p>
    <w:p>
      <w:pPr>
        <w:pStyle w:val="Heading2"/>
        <w:spacing w:after="120" w:before="240"/>
      </w:pPr>
      <w:r>
        <w:rPr>
          <w:rFonts w:ascii="Arial" w:cs="Arial" w:eastAsia="Arial" w:hAnsi="Arial"/>
          <w:b/>
          <w:bCs/>
          <w:color w:val="1B4F72"/>
          <w:sz w:val="28"/>
          <w:szCs w:val="28"/>
        </w:rPr>
        <w:t xml:space="preserve">5.3 Pipeline Output Format</w:t>
      </w:r>
    </w:p>
    <w:p>
      <w:pPr>
        <w:spacing w:after="120"/>
      </w:pPr>
      <w:r>
        <w:rPr>
          <w:rFonts w:ascii="Arial" w:cs="Arial" w:eastAsia="Arial" w:hAnsi="Arial"/>
          <w:sz w:val="22"/>
          <w:szCs w:val="22"/>
        </w:rPr>
        <w:t xml:space="preserve">Each pipeline run produces three outputs. First, an updated compliance_register.json with any status changes, new CR-IDs, and revised next_review_due dates. Second, a pipeline run summary (appended to compliance_audit_log.json) recording what was scanned, what changed, what files are affected, and what actions are recommended. Third, if any file amendments are needed, draft amendment text for the founder to review and approve before implementation.</w:t>
      </w:r>
    </w:p>
    <w:p>
      <w:r>
        <w:br w:type="page"/>
      </w:r>
    </w:p>
    <w:p>
      <w:pPr>
        <w:pStyle w:val="Heading1"/>
        <w:spacing w:after="120" w:before="360"/>
      </w:pPr>
      <w:r>
        <w:rPr>
          <w:rFonts w:ascii="Arial" w:cs="Arial" w:eastAsia="Arial" w:hAnsi="Arial"/>
          <w:b/>
          <w:bCs/>
          <w:color w:val="1B4F72"/>
          <w:sz w:val="32"/>
          <w:szCs w:val="32"/>
        </w:rPr>
        <w:t xml:space="preserve">6. Compliance-Bearing File Inventory</w:t>
      </w:r>
    </w:p>
    <w:p>
      <w:pPr>
        <w:spacing w:after="120"/>
      </w:pPr>
      <w:r>
        <w:rPr>
          <w:rFonts w:ascii="Arial" w:cs="Arial" w:eastAsia="Arial" w:hAnsi="Arial"/>
          <w:sz w:val="22"/>
          <w:szCs w:val="22"/>
        </w:rPr>
        <w:t xml:space="preserve">The following table maps every file in the project that carries compliance obligations to its applicable rules, review cycle, owner, and the specific place-marker action required to bring it into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1200"/>
        <w:gridCol w:w="31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 / Group</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Applicable Rules</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Review Cycle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Place-Marker Action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manifest.md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R0–R20 + R14 ref</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Quarterly</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founder</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Add compliance_version and regulatory_references YAML frontmatter block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website/src/app/terms/page.tsx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 R2, R3, R5, R13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legal-counsel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HTML comment block with place-marker fields at file top</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website/src/app/privacy/page.tsx</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R1, R2, GDPR, AU Privacy</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Quarterly</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legal-counsel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Add HTML comment block; fix V1 language (CR already documented in Policy Amendments)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LICENSE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R4, R11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Semi-annual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comment header with compliance_version and applicable_jurisdictions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website/src/lib/security.ts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R4, R5</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Quarterly</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founder</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Add JSDoc comment block with regulatory_references and review_cycle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compliance_register.json (NEW)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CR-IDs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 register file; pipeline reads and writes this file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compliance_audit_log.json (NEW)</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Pipeline output</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Per run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automated</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Append-only log of every pipeline execution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stoic-brain/*.json (8 files)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R7, R8a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fidelity; no regulatory pressure expected but monitor IP law changes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agent-assessment/*.json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R1, R2, R3, R5, R6</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Semi-annual</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founder</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Agent-facing; monitor EU AI Act deployer obligations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sage-mentor/*.ts (5 files)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 R3, R4, R6, R9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builders contain compliance-critical language; sanitise.ts is security layer</w:t>
            </w:r>
          </w:p>
        </w:tc>
      </w:tr>
    </w:tbl>
    <w:p>
      <w:r>
        <w:br w:type="page"/>
      </w:r>
    </w:p>
    <w:p>
      <w:pPr>
        <w:pStyle w:val="Heading1"/>
        <w:spacing w:after="120" w:before="360"/>
      </w:pPr>
      <w:r>
        <w:rPr>
          <w:rFonts w:ascii="Arial" w:cs="Arial" w:eastAsia="Arial" w:hAnsi="Arial"/>
          <w:b/>
          <w:bCs/>
          <w:color w:val="1B4F72"/>
          <w:sz w:val="32"/>
          <w:szCs w:val="32"/>
        </w:rPr>
        <w:t xml:space="preserve">7. Proposed Mandate Amendment: R14</w:t>
      </w:r>
    </w:p>
    <w:p>
      <w:pPr>
        <w:spacing w:after="120"/>
      </w:pPr>
      <w:r>
        <w:rPr>
          <w:rFonts w:ascii="Arial" w:cs="Arial" w:eastAsia="Arial" w:hAnsi="Arial"/>
          <w:sz w:val="22"/>
          <w:szCs w:val="22"/>
        </w:rPr>
        <w:t xml:space="preserve">R14 has been added to manifest.md. It establishes the compliance pipeline as a governance obligation rather than an optional process. Since this document was originally written, additional rules have been added: R15–R16 (Sage Ops governance) and R17–R20 (ethical deployment constraints from the Ethical Analysis of 5 April 2026). The pipeline now monitors compliance with R0–R20, not just R1–R13.</w:t>
      </w:r>
    </w:p>
    <w:p>
      <w:pPr>
        <w:pBdr>
          <w:left w:val="single" w:color="1B4F72" w:sz="6" w:space="8"/>
        </w:pBdr>
        <w:spacing w:after="200" w:before="200"/>
        <w:ind w:left="720" w:right="720"/>
      </w:pPr>
      <w:r>
        <w:rPr>
          <w:rFonts w:ascii="Arial" w:cs="Arial" w:eastAsia="Arial" w:hAnsi="Arial"/>
          <w:b/>
          <w:bCs/>
          <w:sz w:val="22"/>
          <w:szCs w:val="22"/>
        </w:rPr>
        <w:t xml:space="preserve">R14 — Regulatory Compliance Pipeline</w:t>
      </w:r>
    </w:p>
    <w:p>
      <w:pPr>
        <w:pBdr>
          <w:left w:val="single" w:color="1B4F72" w:sz="6" w:space="8"/>
        </w:pBdr>
        <w:spacing w:after="200"/>
        <w:ind w:left="720" w:right="720"/>
      </w:pPr>
      <w:r>
        <w:rPr>
          <w:rFonts w:ascii="Arial" w:cs="Arial" w:eastAsia="Arial" w:hAnsi="Arial"/>
          <w:sz w:val="22"/>
          <w:szCs w:val="22"/>
        </w:rPr>
        <w:t xml:space="preserve">SageReasoning maintains a machine-readable compliance register (compliance_register.json) mapping all external regulatory obligations to the mandate rules they affect. A scheduled compliance pipeline reviews the register quarterly, scanning for regulatory changes in all applicable jurisdictions, assessing their impact on R0–R20, updating the register, and flagging files requiring amendment. Out-of-cycle reviews are triggered by significant regulatory events. All pipeline runs are logged in compliance_audit_log.json. No compliance-bearing file may be modified without updating its place-marker fields. The compliance register is the authoritative source for the current regulatory status of every obligation SageReasoning operates under.</w:t>
      </w:r>
    </w:p>
    <w:p>
      <w:pPr>
        <w:pStyle w:val="Heading2"/>
        <w:spacing w:after="120" w:before="240"/>
      </w:pPr>
      <w:r>
        <w:rPr>
          <w:rFonts w:ascii="Arial" w:cs="Arial" w:eastAsia="Arial" w:hAnsi="Arial"/>
          <w:b/>
          <w:bCs/>
          <w:color w:val="1B4F72"/>
          <w:sz w:val="28"/>
          <w:szCs w:val="28"/>
        </w:rPr>
        <w:t xml:space="preserve">7.1 Why a Single Rule, Not Multiple</w:t>
      </w:r>
    </w:p>
    <w:p>
      <w:pPr>
        <w:spacing w:after="120"/>
      </w:pPr>
      <w:r>
        <w:rPr>
          <w:rFonts w:ascii="Arial" w:cs="Arial" w:eastAsia="Arial" w:hAnsi="Arial"/>
          <w:sz w:val="22"/>
          <w:szCs w:val="22"/>
        </w:rPr>
        <w:t xml:space="preserve">The existing rules are substantive: they define what SageReasoning does and does not do. R14 is procedural: it defines how the substantive rules are kept current. The manifest now contains 21 rules (R0–R20), with R17–R20 addressing ethical deployment constraints including intimate data protection (R17), honest certification limits (R18), honest positioning (R19), and active user protection (R20). The register table provides the granularity; the mandate rule provides the authority.</w:t>
      </w:r>
    </w:p>
    <w:p>
      <w:pPr>
        <w:pStyle w:val="Heading2"/>
        <w:spacing w:after="120" w:before="240"/>
      </w:pPr>
      <w:r>
        <w:rPr>
          <w:rFonts w:ascii="Arial" w:cs="Arial" w:eastAsia="Arial" w:hAnsi="Arial"/>
          <w:b/>
          <w:bCs/>
          <w:color w:val="1B4F72"/>
          <w:sz w:val="28"/>
          <w:szCs w:val="28"/>
        </w:rPr>
        <w:t xml:space="preserve">7.2 Interaction with Existing Rules</w:t>
      </w:r>
    </w:p>
    <w:p>
      <w:pPr>
        <w:spacing w:after="120"/>
      </w:pPr>
      <w:r>
        <w:rPr>
          <w:rFonts w:ascii="Arial" w:cs="Arial" w:eastAsia="Arial" w:hAnsi="Arial"/>
          <w:sz w:val="22"/>
          <w:szCs w:val="22"/>
        </w:rPr>
        <w:t xml:space="preserve">R14 does not modify any existing rule. It creates the mechanism by which R0–R20 are reviewed against evolving external obligations. If the pipeline identifies that a regulation requires a change to an existing rule (for example, if the EU AI Act classifies reasoning evaluation as high-risk, potentially affecting R3’s disclaimer requirements), the pipeline flags this for founder approval. The founder then decides whether to amend the affected rule. R14 never auto-modifies other rules. The compliance register now includes CR-025 through CR-028 tracking the R17–R20 ethical deployment obligations.</w:t>
      </w:r>
    </w:p>
    <w:p>
      <w:r>
        <w:br w:type="page"/>
      </w:r>
    </w:p>
    <w:p>
      <w:pPr>
        <w:pStyle w:val="Heading1"/>
        <w:spacing w:after="120" w:before="360"/>
      </w:pPr>
      <w:r>
        <w:rPr>
          <w:rFonts w:ascii="Arial" w:cs="Arial" w:eastAsia="Arial" w:hAnsi="Arial"/>
          <w:b/>
          <w:bCs/>
          <w:color w:val="1B4F72"/>
          <w:sz w:val="32"/>
          <w:szCs w:val="32"/>
        </w:rPr>
        <w:t xml:space="preserve">8. Implementation Roadmap</w:t>
      </w:r>
    </w:p>
    <w:p>
      <w:pPr>
        <w:spacing w:after="120"/>
      </w:pPr>
      <w:r>
        <w:rPr>
          <w:rFonts w:ascii="Arial" w:cs="Arial" w:eastAsia="Arial" w:hAnsi="Arial"/>
          <w:sz w:val="22"/>
          <w:szCs w:val="22"/>
        </w:rPr>
        <w:t xml:space="preserve">The following sequence implements the compliance pipeline with minimal disruption to the current build priorities.</w:t>
      </w:r>
    </w:p>
    <w:p>
      <w:pPr>
        <w:pStyle w:val="ListParagraph"/>
        <w:numPr>
          <w:ilvl w:val="0"/>
          <w:numId w:val="2"/>
        </w:numPr>
        <w:spacing w:after="80"/>
      </w:pPr>
      <w:r>
        <w:rPr>
          <w:rFonts w:ascii="Arial" w:cs="Arial" w:eastAsia="Arial" w:hAnsi="Arial"/>
          <w:b/>
          <w:bCs/>
          <w:sz w:val="22"/>
          <w:szCs w:val="22"/>
        </w:rPr>
        <w:t xml:space="preserve">Step 1 (Immediate): </w:t>
      </w:r>
      <w:r>
        <w:rPr>
          <w:rFonts w:ascii="Arial" w:cs="Arial" w:eastAsia="Arial" w:hAnsi="Arial"/>
          <w:sz w:val="22"/>
          <w:szCs w:val="22"/>
        </w:rPr>
        <w:t xml:space="preserve">Create compliance_register.json in the project root using the 15 CR-IDs documented in Section 3 of this document. This is a JSON file, not code, and can be created in a single session.</w:t>
      </w:r>
    </w:p>
    <w:p>
      <w:pPr>
        <w:pStyle w:val="ListParagraph"/>
        <w:numPr>
          <w:ilvl w:val="0"/>
          <w:numId w:val="2"/>
        </w:numPr>
        <w:spacing w:after="80"/>
      </w:pPr>
      <w:r>
        <w:rPr>
          <w:rFonts w:ascii="Arial" w:cs="Arial" w:eastAsia="Arial" w:hAnsi="Arial"/>
          <w:b/>
          <w:bCs/>
          <w:sz w:val="22"/>
          <w:szCs w:val="22"/>
        </w:rPr>
        <w:t xml:space="preserve">Step 2 (Immediate): </w:t>
      </w:r>
      <w:r>
        <w:rPr>
          <w:rFonts w:ascii="Arial" w:cs="Arial" w:eastAsia="Arial" w:hAnsi="Arial"/>
          <w:sz w:val="22"/>
          <w:szCs w:val="22"/>
        </w:rPr>
        <w:t xml:space="preserve">Create compliance_audit_log.json as an empty array. This file will be populated by the first pipeline run.</w:t>
      </w:r>
    </w:p>
    <w:p>
      <w:pPr>
        <w:pStyle w:val="ListParagraph"/>
        <w:numPr>
          <w:ilvl w:val="0"/>
          <w:numId w:val="2"/>
        </w:numPr>
        <w:spacing w:after="80"/>
      </w:pPr>
      <w:r>
        <w:rPr>
          <w:rFonts w:ascii="Arial" w:cs="Arial" w:eastAsia="Arial" w:hAnsi="Arial"/>
          <w:b/>
          <w:bCs/>
          <w:sz w:val="22"/>
          <w:szCs w:val="22"/>
        </w:rPr>
        <w:t xml:space="preserve">Step 3 (This week): </w:t>
      </w:r>
      <w:r>
        <w:rPr>
          <w:rFonts w:ascii="Arial" w:cs="Arial" w:eastAsia="Arial" w:hAnsi="Arial"/>
          <w:sz w:val="22"/>
          <w:szCs w:val="22"/>
        </w:rPr>
        <w:t xml:space="preserve">Add YAML frontmatter place-marker fields to manifest.md. This is the highest-priority file because it governs all others.</w:t>
      </w:r>
    </w:p>
    <w:p>
      <w:pPr>
        <w:pStyle w:val="ListParagraph"/>
        <w:numPr>
          <w:ilvl w:val="0"/>
          <w:numId w:val="2"/>
        </w:numPr>
        <w:spacing w:after="80"/>
      </w:pPr>
      <w:r>
        <w:rPr>
          <w:rFonts w:ascii="Arial" w:cs="Arial" w:eastAsia="Arial" w:hAnsi="Arial"/>
          <w:b/>
          <w:bCs/>
          <w:sz w:val="22"/>
          <w:szCs w:val="22"/>
        </w:rPr>
        <w:t xml:space="preserve">Step 4 (This week): </w:t>
      </w:r>
      <w:r>
        <w:rPr>
          <w:rFonts w:ascii="Arial" w:cs="Arial" w:eastAsia="Arial" w:hAnsi="Arial"/>
          <w:sz w:val="22"/>
          <w:szCs w:val="22"/>
        </w:rPr>
        <w:t xml:space="preserve">Add place-marker comment blocks to the 5 sage-mentor TypeScript files, the Terms of Service page, the Privacy Policy page, and the LICENSE file.</w:t>
      </w:r>
    </w:p>
    <w:p>
      <w:pPr>
        <w:pStyle w:val="ListParagraph"/>
        <w:numPr>
          <w:ilvl w:val="0"/>
          <w:numId w:val="2"/>
        </w:numPr>
        <w:spacing w:after="80"/>
      </w:pPr>
      <w:r>
        <w:rPr>
          <w:rFonts w:ascii="Arial" w:cs="Arial" w:eastAsia="Arial" w:hAnsi="Arial"/>
          <w:b/>
          <w:bCs/>
          <w:sz w:val="22"/>
          <w:szCs w:val="22"/>
        </w:rPr>
        <w:t xml:space="preserve">Step 5 (Next session): </w:t>
      </w:r>
      <w:r>
        <w:rPr>
          <w:rFonts w:ascii="Arial" w:cs="Arial" w:eastAsia="Arial" w:hAnsi="Arial"/>
          <w:sz w:val="22"/>
          <w:szCs w:val="22"/>
        </w:rPr>
        <w:t xml:space="preserve">Create the Cowork scheduled task for the quarterly pipeline run. Configure for first Monday of each quarter. The task prompt should reference this document for pipeline stages.</w:t>
      </w:r>
    </w:p>
    <w:p>
      <w:pPr>
        <w:pStyle w:val="ListParagraph"/>
        <w:numPr>
          <w:ilvl w:val="0"/>
          <w:numId w:val="2"/>
        </w:numPr>
        <w:spacing w:after="80"/>
      </w:pPr>
      <w:r>
        <w:rPr>
          <w:rFonts w:ascii="Arial" w:cs="Arial" w:eastAsia="Arial" w:hAnsi="Arial"/>
          <w:b/>
          <w:bCs/>
          <w:sz w:val="22"/>
          <w:szCs w:val="22"/>
        </w:rPr>
        <w:t xml:space="preserve">Step 6 (Pre-launch): </w:t>
      </w:r>
      <w:r>
        <w:rPr>
          <w:rFonts w:ascii="Arial" w:cs="Arial" w:eastAsia="Arial" w:hAnsi="Arial"/>
          <w:sz w:val="22"/>
          <w:szCs w:val="22"/>
        </w:rPr>
        <w:t xml:space="preserve">Run the pipeline manually for the first time to establish the baseline audit log entry and validate that all place-marker fields are correctly populated.</w:t>
      </w:r>
    </w:p>
    <w:p>
      <w:pPr>
        <w:pStyle w:val="ListParagraph"/>
        <w:numPr>
          <w:ilvl w:val="0"/>
          <w:numId w:val="2"/>
        </w:numPr>
        <w:spacing w:after="80"/>
      </w:pPr>
      <w:r>
        <w:rPr>
          <w:rFonts w:ascii="Arial" w:cs="Arial" w:eastAsia="Arial" w:hAnsi="Arial"/>
          <w:b/>
          <w:bCs/>
          <w:sz w:val="22"/>
          <w:szCs w:val="22"/>
        </w:rPr>
        <w:t xml:space="preserve">Step 7 (Ongoing): </w:t>
      </w:r>
      <w:r>
        <w:rPr>
          <w:rFonts w:ascii="Arial" w:cs="Arial" w:eastAsia="Arial" w:hAnsi="Arial"/>
          <w:sz w:val="22"/>
          <w:szCs w:val="22"/>
        </w:rPr>
        <w:t xml:space="preserve">Every time a compliance-bearing file is modified for any reason, update its place-marker fields (particularly last_regulatory_review and compliance_version).</w:t>
      </w:r>
    </w:p>
    <w:p>
      <w:pPr>
        <w:pStyle w:val="Heading2"/>
        <w:spacing w:after="120" w:before="240"/>
      </w:pPr>
      <w:r>
        <w:rPr>
          <w:rFonts w:ascii="Arial" w:cs="Arial" w:eastAsia="Arial" w:hAnsi="Arial"/>
          <w:b/>
          <w:bCs/>
          <w:color w:val="1B4F72"/>
          <w:sz w:val="28"/>
          <w:szCs w:val="28"/>
        </w:rPr>
        <w:t xml:space="preserve">8.1 Effort Estimate</w:t>
      </w:r>
    </w:p>
    <w:p>
      <w:pPr>
        <w:spacing w:after="120"/>
      </w:pPr>
      <w:r>
        <w:rPr>
          <w:rFonts w:ascii="Arial" w:cs="Arial" w:eastAsia="Arial" w:hAnsi="Arial"/>
          <w:sz w:val="22"/>
          <w:szCs w:val="22"/>
        </w:rPr>
        <w:t xml:space="preserve">Steps 1–4 represent approximately 2–3 hours of work in a single Cowork session. Step 5 is a 15-minute scheduled task setup. Step 6 is the first real pipeline run, which will take approximately 1–2 hours depending on how many regulatory changes have occurred since the mandate was last reviewed. The ongoing effort (Step 7) is negligible because it piggybacks on work already being done.</w:t>
      </w:r>
    </w:p>
    <w:p>
      <w:r>
        <w:br w:type="page"/>
      </w:r>
    </w:p>
    <w:p>
      <w:pPr>
        <w:pStyle w:val="Heading1"/>
        <w:spacing w:after="120" w:before="360"/>
      </w:pPr>
      <w:r>
        <w:rPr>
          <w:rFonts w:ascii="Arial" w:cs="Arial" w:eastAsia="Arial" w:hAnsi="Arial"/>
          <w:b/>
          <w:bCs/>
          <w:color w:val="1B4F72"/>
          <w:sz w:val="32"/>
          <w:szCs w:val="32"/>
        </w:rPr>
        <w:t xml:space="preserve">9. Summary of Recommendations</w:t>
      </w:r>
    </w:p>
    <w:p>
      <w:pPr>
        <w:pStyle w:val="ListParagraph"/>
        <w:numPr>
          <w:ilvl w:val="0"/>
          <w:numId w:val="3"/>
        </w:numPr>
        <w:spacing w:after="100"/>
      </w:pPr>
      <w:r>
        <w:rPr>
          <w:rFonts w:ascii="Arial" w:cs="Arial" w:eastAsia="Arial" w:hAnsi="Arial"/>
          <w:b/>
          <w:bCs/>
          <w:sz w:val="22"/>
          <w:szCs w:val="22"/>
        </w:rPr>
        <w:t xml:space="preserve">Create compliance_register.json </w:t>
      </w:r>
      <w:r>
        <w:rPr>
          <w:rFonts w:ascii="Arial" w:cs="Arial" w:eastAsia="Arial" w:hAnsi="Arial"/>
          <w:sz w:val="22"/>
          <w:szCs w:val="22"/>
        </w:rPr>
        <w:t xml:space="preserve">with 15 CR-IDs mapping every external obligation to mandate rules, review cycles, and current status.</w:t>
      </w:r>
    </w:p>
    <w:p>
      <w:pPr>
        <w:pStyle w:val="ListParagraph"/>
        <w:numPr>
          <w:ilvl w:val="0"/>
          <w:numId w:val="3"/>
        </w:numPr>
        <w:spacing w:after="100"/>
      </w:pPr>
      <w:r>
        <w:rPr>
          <w:rFonts w:ascii="Arial" w:cs="Arial" w:eastAsia="Arial" w:hAnsi="Arial"/>
          <w:b/>
          <w:bCs/>
          <w:sz w:val="22"/>
          <w:szCs w:val="22"/>
        </w:rPr>
        <w:t xml:space="preserve">Add place-marker fields </w:t>
      </w:r>
      <w:r>
        <w:rPr>
          <w:rFonts w:ascii="Arial" w:cs="Arial" w:eastAsia="Arial" w:hAnsi="Arial"/>
          <w:sz w:val="22"/>
          <w:szCs w:val="22"/>
        </w:rPr>
        <w:t xml:space="preserve">to all compliance-bearing files using the 9-field schema (compliance_version, last_regulatory_review, applicable_jurisdictions, regulatory_references, review_cycle, owner, next_review_due, change_trigger, deprecation_flag).</w:t>
      </w:r>
    </w:p>
    <w:p>
      <w:pPr>
        <w:pStyle w:val="ListParagraph"/>
        <w:numPr>
          <w:ilvl w:val="0"/>
          <w:numId w:val="3"/>
        </w:numPr>
        <w:spacing w:after="100"/>
      </w:pPr>
      <w:r>
        <w:rPr>
          <w:rFonts w:ascii="Arial" w:cs="Arial" w:eastAsia="Arial" w:hAnsi="Arial"/>
          <w:b/>
          <w:bCs/>
          <w:sz w:val="22"/>
          <w:szCs w:val="22"/>
        </w:rPr>
        <w:t xml:space="preserve">Implement the 7-stage compliance pipeline </w:t>
      </w:r>
      <w:r>
        <w:rPr>
          <w:rFonts w:ascii="Arial" w:cs="Arial" w:eastAsia="Arial" w:hAnsi="Arial"/>
          <w:sz w:val="22"/>
          <w:szCs w:val="22"/>
        </w:rPr>
        <w:t xml:space="preserve">as a Cowork scheduled task running quarterly, with out-of-cycle triggers for significant regulatory events.</w:t>
      </w:r>
    </w:p>
    <w:p>
      <w:pPr>
        <w:pStyle w:val="ListParagraph"/>
        <w:numPr>
          <w:ilvl w:val="0"/>
          <w:numId w:val="3"/>
        </w:numPr>
        <w:spacing w:after="100"/>
      </w:pPr>
      <w:r>
        <w:rPr>
          <w:rFonts w:ascii="Arial" w:cs="Arial" w:eastAsia="Arial" w:hAnsi="Arial"/>
          <w:b/>
          <w:bCs/>
          <w:sz w:val="22"/>
          <w:szCs w:val="22"/>
        </w:rPr>
        <w:t xml:space="preserve">Add R14 to the manifest </w:t>
      </w:r>
      <w:r>
        <w:rPr>
          <w:rFonts w:ascii="Arial" w:cs="Arial" w:eastAsia="Arial" w:hAnsi="Arial"/>
          <w:sz w:val="22"/>
          <w:szCs w:val="22"/>
        </w:rPr>
        <w:t xml:space="preserve">as a single procedural rule establishing the compliance pipeline as a governance obligation, not an optional process.</w:t>
      </w:r>
    </w:p>
    <w:p>
      <w:pPr>
        <w:pStyle w:val="ListParagraph"/>
        <w:numPr>
          <w:ilvl w:val="0"/>
          <w:numId w:val="3"/>
        </w:numPr>
        <w:spacing w:after="100"/>
      </w:pPr>
      <w:r>
        <w:rPr>
          <w:rFonts w:ascii="Arial" w:cs="Arial" w:eastAsia="Arial" w:hAnsi="Arial"/>
          <w:b/>
          <w:bCs/>
          <w:sz w:val="22"/>
          <w:szCs w:val="22"/>
        </w:rPr>
        <w:t xml:space="preserve">Create compliance_audit_log.json </w:t>
      </w:r>
      <w:r>
        <w:rPr>
          <w:rFonts w:ascii="Arial" w:cs="Arial" w:eastAsia="Arial" w:hAnsi="Arial"/>
          <w:sz w:val="22"/>
          <w:szCs w:val="22"/>
        </w:rPr>
        <w:t xml:space="preserve">as an append-only audit trail of every pipeline run, providing evidence of ongoing regulatory diligence.</w:t>
      </w:r>
    </w:p>
    <w:p>
      <w:pPr>
        <w:spacing w:after="120"/>
      </w:pPr>
      <w:r>
        <w:rPr>
          <w:rFonts w:ascii="Arial" w:cs="Arial" w:eastAsia="Arial" w:hAnsi="Arial"/>
          <w:i/>
          <w:iCs/>
          <w:sz w:val="22"/>
          <w:szCs w:val="22"/>
        </w:rPr>
        <w:t xml:space="preserve">This structure transforms compliance from a point-in-time exercise (reviewing rules when something goes wrong) into a continuous, auditable process (scanning for change, assessing impact, updating the register, amending files, and logging everything). The compliance register becomes the single source of truth for the regulatory status of every obligation SageReasoning operates under, and R14 gives it the same authority as the other 20 rules. The register now tracks 28 obligations (CR-001 through CR-028), including ethical deployment constraints derived from the critical ethical analysis of 5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8"/>
        <w:szCs w:val="18"/>
      </w:rPr>
      <w:t xml:space="preserve">SageReasoning — Evolving Compliance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4F72"/>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2026-04-03T23:31:16.950Z</dcterms:created>
  <dcterms:modified xsi:type="dcterms:W3CDTF">2026-04-03T23:31:16.950Z</dcterms:modified>
</cp:coreProperties>
</file>

<file path=docProps/custom.xml><?xml version="1.0" encoding="utf-8"?>
<Properties xmlns="http://schemas.openxmlformats.org/officeDocument/2006/custom-properties" xmlns:vt="http://schemas.openxmlformats.org/officeDocument/2006/docPropsVTypes"/>
</file>