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720"/>
      </w:pPr>
    </w:p>
    <w:p>
      <w:pPr>
        <w:spacing w:line="720"/>
      </w:pPr>
    </w:p>
    <w:p>
      <w:pPr>
        <w:pStyle w:val="Heading1"/>
        <w:spacing w:line="360"/>
        <w:jc w:val="center"/>
      </w:pPr>
      <w:r>
        <w:t xml:space="preserve">SAGEREASONING.COM</w:t>
      </w:r>
    </w:p>
    <w:p>
      <w:pPr>
        <w:spacing w:line="240"/>
      </w:pPr>
    </w:p>
    <w:p>
      <w:pPr>
        <w:pStyle w:val="Heading1"/>
        <w:spacing w:line="360"/>
        <w:jc w:val="center"/>
      </w:pPr>
      <w:r>
        <w:t xml:space="preserve">Stoic-Aligned Growth Strategy</w:t>
      </w:r>
    </w:p>
    <w:p>
      <w:pPr>
        <w:spacing w:line="240"/>
      </w:pPr>
    </w:p>
    <w:p>
      <w:pPr>
        <w:spacing w:line="360"/>
        <w:jc w:val="center"/>
      </w:pPr>
      <w:r>
        <w:t xml:space="preserve">Two-Track Awareness Plan: AI Agents &amp; Human Users</w:t>
      </w:r>
    </w:p>
    <w:p>
      <w:pPr>
        <w:spacing w:line="480"/>
      </w:pPr>
    </w:p>
    <w:p>
      <w:pPr>
        <w:spacing w:line="360"/>
        <w:jc w:val="center"/>
      </w:pPr>
      <w:r>
        <w:t xml:space="preserve">April 2026 (Revised — V3 Competitor-Anchored Pricing)</w:t>
      </w:r>
    </w:p>
    <w:p>
      <w:pPr>
        <w:spacing w:line="480"/>
      </w:pPr>
    </w:p>
    <w:p>
      <w:pPr>
        <w:spacing w:line="360"/>
        <w:jc w:val="center"/>
      </w:pPr>
      <w:r>
        <w:t xml:space="preserve">Prepared for Clinton Aitkenhead</w:t>
      </w:r>
    </w:p>
    <w:r>
      <w:br w:type="page"/>
    </w:r>
    <w:p>
      <w:pPr>
        <w:pStyle w:val="Heading1"/>
        <w:spacing w:after="240" w:line="360"/>
      </w:pPr>
      <w:r>
        <w:t xml:space="preserve">1. Executive Summary</w:t>
      </w:r>
    </w:p>
    <w:p>
      <w:pPr>
        <w:spacing w:after="240" w:line="360"/>
      </w:pPr>
      <w:r>
        <w:t xml:space="preserve">SageReasoning is positioned as Stoic reasoning infrastructure for AI systems and a free decision-evaluation tool for individuals — grounded entirely in primary Stoic sources and governed by a transparent, auditable framework. The framework derives from one philosophical tradition among many valid approaches to ethical reasoning. All positioning language acknowledges this honestly (R19).</w:t>
      </w:r>
    </w:p>
    <w:p>
      <w:pPr>
        <w:pStyle w:val="Heading2"/>
        <w:spacing w:after="160" w:line="360"/>
      </w:pPr>
      <w:r>
        <w:t xml:space="preserve">Two-Track Growth Strategy</w:t>
      </w:r>
    </w:p>
    <w:p>
      <w:pPr>
        <w:spacing w:after="120" w:line="360"/>
      </w:pPr>
      <w:r>
        <w:t xml:space="preserve">Track 1: AI Agents &amp; Developers — Per-call API pricing. Compliance infrastructure for AI systems seeking auditable, governed, source-cited reasoning evaluation. Competitor-anchored pricing (half the cheapest rival in each category). 60–97% API margins.</w:t>
      </w:r>
    </w:p>
    <w:p>
      <w:pPr>
        <w:spacing w:after="240" w:line="360"/>
      </w:pPr>
      <w:r>
        <w:t xml:space="preserve">Track 2: Human Users — Free decision-evaluation tool. Human experience is free, supported by voluntary tidings donations. Guard-centred free tier costs ~$0.03/user/month to operate. Tidings model: 2% donor rate at $10.58 average ≈ $211/month per 1,000 users.</w:t>
      </w:r>
    </w:p>
    <w:p>
      <w:pPr>
        <w:pStyle w:val="Heading2"/>
        <w:spacing w:after="160" w:line="360"/>
      </w:pPr>
      <w:r>
        <w:t xml:space="preserve">V3 Framework Overview</w:t>
      </w:r>
    </w:p>
    <w:p>
      <w:pPr>
        <w:spacing w:after="160" w:line="360"/>
      </w:pPr>
      <w:r>
        <w:t xml:space="preserve">The Stoic Brain is a structured reasoning evaluation framework based on primary Stoic sources. At its core is sage-reason — a universal reasoning layer that applies six mechanisms at varying depths. All 29 skills and wrappers call sage-reason internally.</w:t>
      </w:r>
    </w:p>
    <w:p>
      <w:pPr>
        <w:spacing w:after="120" w:line="360"/>
      </w:pPr>
      <w:r>
        <w:t xml:space="preserve">Six Mechanisms (not "four virtues"):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Control Filter (Prohairesis) — what is and isn't within moral choice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Passion Diagnosis — which of 25+ sub-species of passion distort reasoning, with false judgement identification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Oikeiosis — circles of concern and social obligation mapping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Value Assessment — are preferred indifferents treated correctly?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Kathekon Assessment — is the action appropriate? Can a reasonable justification be given?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Iterative Refinement — Senecan progress tracking and direction-of-travel</w:t>
      </w:r>
    </w:p>
    <w:p>
      <w:pPr>
        <w:spacing w:after="80" w:line="360"/>
      </w:pPr>
      <w:r>
        <w:t xml:space="preserve">Five Qualitative Proximity Levels (not numeric scores):</w:t>
      </w:r>
    </w:p>
    <w:p>
      <w:pPr>
        <w:spacing w:after="120" w:line="240"/>
      </w:pPr>
      <w:r>
        <w:t xml:space="preserve">reflexive → habitual → deliberate → principled → sage_like</w:t>
      </w:r>
    </w:p>
    <w:p>
      <w:pPr>
        <w:spacing w:after="240" w:line="360"/>
      </w:pPr>
      <w:r>
        <w:t xml:space="preserve">These measure how close reasoning is to the Stoic sage ideal. No 0–100 numeric scores anywhere.</w:t>
      </w:r>
    </w:p>
    <w:p>
      <w:pPr>
        <w:pStyle w:val="Heading2"/>
        <w:spacing w:after="160" w:line="360"/>
      </w:pPr>
      <w:r>
        <w:t xml:space="preserve">Unity of Virtue Thesis (Critical)</w:t>
      </w:r>
    </w:p>
    <w:p>
      <w:pPr>
        <w:spacing w:after="240" w:line="360"/>
      </w:pPr>
      <w:r>
        <w:t xml:space="preserve">Virtue is ONE unified excellence of the ruling faculty, not four independent skills. The four expressions (phronesis, dikaiosyne, andreia, sophrosyne) are facets of ONE disposition. A deficiency in any one domain indicates a deficiency in the whole. V3 does not weight them independently.</w:t>
      </w:r>
    </w:p>
    <w:p>
      <w:pPr>
        <w:pStyle w:val="Heading2"/>
        <w:spacing w:after="160" w:line="360"/>
      </w:pPr>
      <w:r>
        <w:t xml:space="preserve">Revenue Model</w:t>
      </w:r>
    </w:p>
    <w:p>
      <w:pPr>
        <w:spacing w:after="120" w:line="360"/>
      </w:pPr>
      <w:r>
        <w:t xml:space="preserve">Per-call API pricing, competitor-anchored (half the cheapest competitor in each category). 29 paid skills + 1 free endpoint across three tiers: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sage-guard: $0.0025/call (half Guardrails AI $0.005)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Most skills: $0.18/call (half Clearbit $0.36)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sage-diagnose, sage-profile: $0.50/call (half Crystal Knows ~$1.00)</w:t>
      </w:r>
    </w:p>
    <w:p>
      <w:pPr>
        <w:spacing w:after="240" w:line="360"/>
      </w:pPr>
      <w:r>
        <w:t xml:space="preserve">Weighted average margin ~90%. NO subscription tiers of any kind. Human experience is FREE, supported by voluntary tidings donations (like Wikipedia).</w:t>
      </w:r>
    </w:p>
    <w:p>
      <w:pPr>
        <w:pStyle w:val="Heading2"/>
        <w:spacing w:after="160" w:line="360"/>
      </w:pPr>
      <w:r>
        <w:t xml:space="preserve">Month 12 Financial Targets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M12 API Revenue: $9,117/month (25 agents)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M12 Total Revenue: $10,329/month (includes tidings)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M12 Net Profit: $8,818/month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Break-even: Month 2–3 (upfront investment $5,674; fixed costs $279/month)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Annualised revenue: $105,821</w:t>
      </w:r>
    </w:p>
    <w:r>
      <w:br w:type="page"/>
    </w:r>
    <w:p>
      <w:pPr>
        <w:pStyle w:val="Heading1"/>
        <w:spacing w:after="200" w:line="360"/>
      </w:pPr>
      <w:r>
        <w:t xml:space="preserve">2. V3 Marketing Principles</w:t>
      </w:r>
    </w:p>
    <w:p>
      <w:pPr>
        <w:spacing w:after="240" w:line="360"/>
      </w:pPr>
      <w:r>
        <w:t xml:space="preserve">Every marketing action is evaluated through the Unity of Virtue thesis. Marketing is not messaging — it is reasoning made visible. Each action must align with the unified disposition, expressed through four facets:</w:t>
      </w:r>
    </w:p>
    <w:p>
      <w:pPr>
        <w:pStyle w:val="Heading2"/>
        <w:spacing w:after="160" w:line="360"/>
      </w:pPr>
      <w:r>
        <w:t xml:space="preserve">Phronesis (Practical Wisdom)</w:t>
      </w:r>
    </w:p>
    <w:p>
      <w:pPr>
        <w:spacing w:after="240" w:line="360"/>
      </w:pPr>
      <w:r>
        <w:t xml:space="preserve">Does the message see clearly? Does it distinguish genuine good (auditable, source-cited, governed reasoning) from apparent good (hype, unverified claims, speed-to-market without substance)? Every claim must be traceable to mechanism or result.</w:t>
      </w:r>
    </w:p>
    <w:p>
      <w:pPr>
        <w:pStyle w:val="Heading2"/>
        <w:spacing w:after="160" w:line="360"/>
      </w:pPr>
      <w:r>
        <w:t xml:space="preserve">Dikaiosyne (Justice)</w:t>
      </w:r>
    </w:p>
    <w:p>
      <w:pPr>
        <w:spacing w:after="240" w:line="360"/>
      </w:pPr>
      <w:r>
        <w:t xml:space="preserve">Does it give each audience their due? Does it honour oikeiosis obligations (developers are due technical honesty; humans are due clarity about limitations; Stoic tradition is due fidelity to primary sources)? Does it resist false segmentation?</w:t>
      </w:r>
    </w:p>
    <w:p>
      <w:pPr>
        <w:pStyle w:val="Heading2"/>
        <w:spacing w:after="160" w:line="360"/>
      </w:pPr>
      <w:r>
        <w:t xml:space="preserve">Andreia (Courage)</w:t>
      </w:r>
    </w:p>
    <w:p>
      <w:pPr>
        <w:spacing w:after="240" w:line="360"/>
      </w:pPr>
      <w:r>
        <w:t xml:space="preserve">Does it act rightly despite difficulty? Does it resist philodoxia (craving for metrics, user growth numbers, social proof)? Can we announce half-competitor pricing without apology, even when it means slower traction than growth-hacking competitors?</w:t>
      </w:r>
    </w:p>
    <w:p>
      <w:pPr>
        <w:pStyle w:val="Heading2"/>
        <w:spacing w:after="160" w:line="360"/>
      </w:pPr>
      <w:r>
        <w:t xml:space="preserve">Sophrosyne (Moderation)</w:t>
      </w:r>
    </w:p>
    <w:p>
      <w:pPr>
        <w:spacing w:after="240" w:line="360"/>
      </w:pPr>
      <w:r>
        <w:t xml:space="preserve">Is it free from excessive impulse? Measured and fitting? Does it avoid dark UX, artificial urgency, unsustainable burn, fake testimonials? Every message reflects the framework we claim to embody.</w:t>
      </w:r>
    </w:p>
    <w:p>
      <w:pPr>
        <w:pStyle w:val="Heading2"/>
        <w:spacing w:after="160" w:line="360"/>
      </w:pPr>
      <w:r>
        <w:t xml:space="preserve">Unity Over Components</w:t>
      </w:r>
    </w:p>
    <w:p>
      <w:pPr>
        <w:spacing w:after="240" w:line="360"/>
      </w:pPr>
      <w:r>
        <w:t xml:space="preserve">These are not four independent rules. They are four expressions of ONE unified excellence. A marketing action that violates any one domain corrupts all four. If a campaign violates dikaiosyne (misleads developers about capabilities), it cannot be phronesis-driven (seeing clearly). The unified whole breaks.</w:t>
      </w:r>
    </w:p>
    <w:r>
      <w:br w:type="page"/>
    </w:r>
    <w:p>
      <w:pPr>
        <w:pStyle w:val="Heading1"/>
        <w:spacing w:after="200" w:line="360"/>
      </w:pPr>
      <w:r>
        <w:t xml:space="preserve">3. Competitive Position</w:t>
      </w:r>
    </w:p>
    <w:p>
      <w:pPr>
        <w:pStyle w:val="Heading2"/>
        <w:spacing w:after="160" w:line="360"/>
      </w:pPr>
      <w:r>
        <w:t xml:space="preserve">What Already Exists</w:t>
      </w:r>
    </w:p>
    <w:p>
      <w:pPr>
        <w:spacing w:after="240" w:line="360"/>
      </w:pPr>
      <w:r>
        <w:t xml:space="preserve">Ethics tools that treat virtue as fuzzy character-building (Ethiphi, Aristotle Analytics). LLM guardrails (Guardrails AI at $0.005/call). Data enrichment APIs (Clearbit at $0.36/lookup). Personality assessments (Crystal Knows at ~$1/profile). None are source-cited, none use structured mechanisms, none produce auditable output.</w:t>
      </w:r>
    </w:p>
    <w:p>
      <w:pPr>
        <w:pStyle w:val="Heading2"/>
        <w:spacing w:after="160" w:line="360"/>
      </w:pPr>
      <w:r>
        <w:t xml:space="preserve">Pricing Position</w:t>
      </w:r>
    </w:p>
    <w:p>
      <w:pPr>
        <w:spacing w:after="80" w:line="240"/>
      </w:pPr>
      <w:r>
        <w:t xml:space="preserve">Category | Competitor | Price | SageReasoning</w:t>
      </w:r>
    </w:p>
    <w:p>
      <w:pPr>
        <w:spacing w:after="80" w:line="240"/>
      </w:pPr>
      <w:r>
        <w:t xml:space="preserve">Decision Gates | Guardrails AI | $0.005/call | $0.0025/call</w:t>
      </w:r>
    </w:p>
    <w:p>
      <w:pPr>
        <w:spacing w:after="80" w:line="240"/>
      </w:pPr>
      <w:r>
        <w:t xml:space="preserve">Reasoning Evaluation | Clearbit | $0.36/lookup | $0.18/call</w:t>
      </w:r>
    </w:p>
    <w:p>
      <w:pPr>
        <w:spacing w:after="80" w:line="240"/>
      </w:pPr>
      <w:r>
        <w:t xml:space="preserve">Personality Assessment | Crystal Knows | ~$1.00/profile | $0.50/call</w:t>
      </w:r>
    </w:p>
    <w:p>
      <w:pPr>
        <w:spacing w:after="240" w:line="240"/>
      </w:pPr>
      <w:r>
        <w:t xml:space="preserve">Margin | Industry average | 40–60% | 90%+</w:t>
      </w:r>
    </w:p>
    <w:p>
      <w:pPr>
        <w:spacing w:after="240" w:line="360"/>
      </w:pPr>
      <w:r>
        <w:t xml:space="preserve">SageReasoning is the most aggressive price in every category.</w:t>
      </w:r>
    </w:p>
    <w:p>
      <w:pPr>
        <w:pStyle w:val="Heading2"/>
        <w:spacing w:after="160" w:line="360"/>
      </w:pPr>
      <w:r>
        <w:t xml:space="preserve">Where SageReasoning Is Unique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Source-cited to primary texts (Epictetus, Seneca, Marcus Aurelius, Cicero, Diogenes Laertius). Not prompt engineering — six structured mechanisms applied with mechanical consistency.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Auditable output. Every evaluation traces to specific passions, false judgements, oikeiosis obligations, and proximity level. Decision chains are transparent.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Governed. Twenty-one Manifest Rules (R0–R20) govern all operations, including ethical deployment constraints (R17–R20) derived from a critical ethical analysis. Every design decision is justified against constraints.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Model-agnostic. Mechanisms work regardless of underlying LLM. Not dependent on GPT-4, Claude, or any single vendor.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Qualitative proximity levels, not 0–100 scores. Reasoning quality measured against the sage ideal, not normalized to a percentile.</w:t>
      </w:r>
    </w:p>
    <w:r>
      <w:br w:type="page"/>
    </w:r>
    <w:p>
      <w:pPr>
        <w:pStyle w:val="Heading1"/>
        <w:spacing w:after="200" w:line="360"/>
      </w:pPr>
      <w:r>
        <w:t xml:space="preserve">4. Track 1: AI Agents &amp; Developers</w:t>
      </w:r>
    </w:p>
    <w:p>
      <w:pPr>
        <w:pStyle w:val="Heading2"/>
        <w:spacing w:after="160" w:line="360"/>
      </w:pPr>
      <w:r>
        <w:t xml:space="preserve">Positioning</w:t>
      </w:r>
    </w:p>
    <w:p>
      <w:pPr>
        <w:spacing w:after="240" w:line="360"/>
      </w:pPr>
      <w:r>
        <w:t xml:space="preserve">Compliance infrastructure for AI systems — auditable, governed, source-cited, at half the price of competitors. Developers seeking reasoning evaluation that is transparent, testable, and not black-box guardrails.</w:t>
      </w:r>
    </w:p>
    <w:p>
      <w:pPr>
        <w:pStyle w:val="Heading2"/>
        <w:spacing w:after="160" w:line="360"/>
      </w:pPr>
      <w:r>
        <w:t xml:space="preserve">MCP Registry Listing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Tool name: sagereasoning-evaluation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Description: V3 Stoic Brain reasoning evaluation — source-cited to primary Stoic texts, auditable via six structured mechanisms (Control Filter, Passion Diagnosis, Oikeiosis mapping, Value Assessment, Kathekon Analysis, Iterative Refinement), 25+ passion sub-species diagnosis, 21 Manifest Rules governance (R0–R20). Returns proximity level (reflexive–habitual–deliberate–principled–sage_like), not numeric scores. Framework derives from the Stoic philosophical tradition — one tradition among many valid approaches to ethical reasoning.</w:t>
      </w:r>
    </w:p>
    <w:p>
      <w:pPr>
        <w:pStyle w:val="Heading2"/>
        <w:spacing w:after="160" w:line="360"/>
      </w:pPr>
      <w:r>
        <w:t xml:space="preserve">GitHub Strategy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Repository: v3-stoic-brain-mcp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Contents: Comprehensive README with framework overview, JSON schemas for all six mechanisms, example integration scripts (Node.js, Python, Go), licence (MIT), mechanism explainers linked to primary source citations.</w:t>
      </w:r>
    </w:p>
    <w:p>
      <w:pPr>
        <w:pStyle w:val="Heading2"/>
        <w:spacing w:after="160" w:line="360"/>
      </w:pPr>
      <w:r>
        <w:t xml:space="preserve">Developer Articles (4-Article Series)</w:t>
      </w:r>
    </w:p>
    <w:p>
      <w:pPr>
        <w:spacing w:after="80" w:line="240"/>
      </w:pPr>
      <w:r>
        <w:t xml:space="preserve">Article 1: "Why Your AI Agent Needs a Reasoning Layer (Not Just Guardrails)"</w:t>
      </w:r>
    </w:p>
    <w:p>
      <w:pPr>
        <w:spacing w:after="120" w:line="240"/>
        <w:ind w:left="720"/>
      </w:pPr>
      <w:r>
        <w:t xml:space="preserve">Contrast mechanism-based evaluation with keyword filtering. Show why guardrails fail: they catch known bad patterns, not novel harmful reasoning. Introduce six mechanisms as the alternative — transparent, source-cited, testable.</w:t>
      </w:r>
    </w:p>
    <w:p>
      <w:pPr>
        <w:spacing w:after="80" w:line="240"/>
      </w:pPr>
      <w:r>
        <w:t xml:space="preserve">Article 2: "Building Auditable AI Decisions with sage-reason"</w:t>
      </w:r>
    </w:p>
    <w:p>
      <w:pPr>
        <w:spacing w:after="120" w:line="240"/>
        <w:ind w:left="720"/>
      </w:pPr>
      <w:r>
        <w:t xml:space="preserve">Deep dive into six mechanisms, passions diagnostics, false judgement identification, oikeiosis mapping. Show how each mechanism reduces decision opacity. Include example decision trace (raw input → mechanism evaluation → output with source citations).</w:t>
      </w:r>
    </w:p>
    <w:p>
      <w:pPr>
        <w:spacing w:after="80" w:line="240"/>
      </w:pPr>
      <w:r>
        <w:t xml:space="preserve">Article 3: "The $0.0025 Decision Gate: sage-guard Integration Guide"</w:t>
      </w:r>
    </w:p>
    <w:p>
      <w:pPr>
        <w:spacing w:after="120" w:line="240"/>
        <w:ind w:left="720"/>
      </w:pPr>
      <w:r>
        <w:t xml:space="preserve">Technical integration guide for sage-guard (the fastest, cheapest guardrail). Walkthroughs: HTTP/gRPC calls, latency benchmarks, cost comparison table (SageReasoning vs Guardrails AI vs Anthropic). Real-world deployment examples.</w:t>
      </w:r>
    </w:p>
    <w:p>
      <w:pPr>
        <w:spacing w:after="80" w:line="240"/>
      </w:pPr>
      <w:r>
        <w:t xml:space="preserve">Article 4: "From Reflexive to Sage-Like: Measuring AI Reasoning Quality"</w:t>
      </w:r>
    </w:p>
    <w:p>
      <w:pPr>
        <w:spacing w:after="240" w:line="240"/>
        <w:ind w:left="720"/>
      </w:pPr>
      <w:r>
        <w:t xml:space="preserve">How to use five proximity levels (reflexive → sage_like) as a quality metric for agent reasoning. Show how deliberation chains progress closer to sage_like over time. Metrics: average proximity level per decision, convergence speed, churn (decisions regressing to reflexive).</w:t>
      </w:r>
    </w:p>
    <w:p>
      <w:pPr>
        <w:pStyle w:val="Heading2"/>
        <w:spacing w:after="160" w:line="360"/>
      </w:pPr>
      <w:r>
        <w:t xml:space="preserve">LessWrong Post</w:t>
      </w:r>
    </w:p>
    <w:p>
      <w:pPr>
        <w:spacing w:after="160" w:line="360"/>
      </w:pPr>
      <w:r>
        <w:t xml:space="preserve">Title: "V3 Stoic Brain as AI Governance Infrastructure: Why Virtue Ethics Isn't About Feelings"</w:t>
      </w:r>
    </w:p>
    <w:p>
      <w:pPr>
        <w:spacing w:after="240" w:line="360"/>
      </w:pPr>
      <w:r>
        <w:t xml:space="preserve">Pitch: V3 as precise governance for AI systems, not fuzzy character-building. Emphasize: structure (six mechanisms, 25+ passions, 21 rules including ethical deployment constraints), auditability (decision traces to sources), precision (false judgement diagnosis, not sentiment analysis). Target audience: AI safety researchers, LLM governance engineers, alignment-focused developers. Defend against “virtue ethics is too vague for AI” objection by showing mechanisms are computational. Acknowledge honestly that the framework derives from the Stoic philosophical tradition — one tradition among many — and position this as a strength (depth and specificity) rather than claiming universality (R19).</w:t>
      </w:r>
    </w:p>
    <w:r>
      <w:br w:type="page"/>
    </w:r>
    <w:p>
      <w:pPr>
        <w:pStyle w:val="Heading1"/>
        <w:spacing w:after="200" w:line="360"/>
      </w:pPr>
      <w:r>
        <w:t xml:space="preserve">5. Track 2: Human Users</w:t>
      </w:r>
    </w:p>
    <w:p>
      <w:pPr>
        <w:pStyle w:val="Heading2"/>
        <w:spacing w:after="160" w:line="360"/>
      </w:pPr>
      <w:r>
        <w:t xml:space="preserve">Positioning</w:t>
      </w:r>
    </w:p>
    <w:p>
      <w:pPr>
        <w:spacing w:after="240" w:line="360"/>
      </w:pPr>
      <w:r>
        <w:t xml:space="preserve">Personal decision-evaluation tool grounded in primary Stoic texts. FREE, supported by voluntary tidings donations. No signup barriers. No freemium funnel. Evaluate any decision in seconds.</w:t>
      </w:r>
    </w:p>
    <w:p>
      <w:pPr>
        <w:pStyle w:val="Heading2"/>
        <w:spacing w:after="160" w:line="360"/>
      </w:pPr>
      <w:r>
        <w:t xml:space="preserve">Tidings Model</w:t>
      </w:r>
    </w:p>
    <w:p>
      <w:pPr>
        <w:spacing w:after="160" w:line="360"/>
      </w:pPr>
      <w:r>
        <w:t xml:space="preserve">Human experience is free. Guard-centred free tier costs ~$0.03/user/month to operate (sage-guard at $0.0025/call, ~12 calls/month per active user).</w:t>
      </w:r>
    </w:p>
    <w:p>
      <w:pPr>
        <w:spacing w:after="160" w:line="360"/>
      </w:pPr>
      <w:r>
        <w:t xml:space="preserve">Voluntary donations (tidings). Like Wikipedia: no ads, no freemium, no dark patterns. Wikipedia benchmark: 2% donor rate at $10.58 average contribution. At 1,000 active human users: 20 donors x $10.58 = ~$211/month donations.</w:t>
      </w:r>
    </w:p>
    <w:p>
      <w:pPr>
        <w:spacing w:after="240" w:line="360"/>
      </w:pPr>
      <w:r>
        <w:t xml:space="preserve">Sustainability math: $211/month from tidings covers $300 in human user infrastructure costs (sage-guard, server, support). Positive margin. Growth to 10,000 users = ~$2,110/month tidings, fully self-funding at that scale.</w:t>
      </w:r>
    </w:p>
    <w:p>
      <w:pPr>
        <w:pStyle w:val="Heading2"/>
        <w:spacing w:after="160" w:line="360"/>
      </w:pPr>
      <w:r>
        <w:t xml:space="preserve">Website Features &amp; Product Language</w:t>
      </w:r>
    </w:p>
    <w:p>
      <w:pPr>
        <w:spacing w:after="120" w:line="360"/>
      </w:pPr>
      <w:r>
        <w:t xml:space="preserve">Use "Evaluation" not "Scoring". User inputs decision (plain language or guided form) and receives: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What's in your control? (Prohairesis filter)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Is it appropriate? (Kathekon assessment)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Which passions distort your reasoning? (Passion diagnosis with 25+ sub-species)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Which false judgements drive those passions? (Source-cited to Stoic texts)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How do your oikeiosis obligations factor in? (Circles of concern, social duty)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How close is your reasoning to the sage ideal? (Proximity level: reflexive → sage_like)</w:t>
      </w:r>
    </w:p>
    <w:p>
      <w:pPr>
        <w:spacing w:after="240" w:line="360"/>
      </w:pPr>
      <w:r>
        <w:t xml:space="preserve">Included: source-cited guidance for each mechanism, links to primary texts.</w:t>
      </w:r>
    </w:p>
    <w:p>
      <w:pPr>
        <w:pStyle w:val="Heading2"/>
        <w:spacing w:after="160" w:line="360"/>
      </w:pPr>
      <w:r>
        <w:t xml:space="preserve">SEO &amp; Organic Content</w:t>
      </w:r>
    </w:p>
    <w:p>
      <w:pPr>
        <w:spacing w:after="120" w:line="360"/>
      </w:pPr>
      <w:r>
        <w:t xml:space="preserve">Target keywords: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"stoic decision making", "how to think like a stoic", "stoic philosophy practice"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"virtue ethics", "applied virtue ethics", "virtue ethics decision framework"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"AI ethics framework", "reasoning evaluation", "decision audit trail"</w:t>
      </w:r>
    </w:p>
    <w:p>
      <w:pPr>
        <w:spacing w:after="240" w:line="360"/>
      </w:pPr>
      <w:r>
        <w:t xml:space="preserve">Content strategy: Long-form articles (2,000-3,500 words) on Stoic decision-making, primary source explainers (Epictetus' Enchiridion, Seneca's Letters, Marcus Aurelius), mechanism guides (what is prohairesis? How to diagnose passions?), passion taxonomy explainers (anger, shame, fear, lust, greed - 25+ species). Publish 2-3 articles per month. All SEO-native and organic (no paid ads).</w:t>
      </w:r>
    </w:p>
    <w:r>
      <w:br w:type="page"/>
    </w:r>
    <w:p>
      <w:pPr>
        <w:pStyle w:val="Heading1"/>
        <w:spacing w:after="200" w:line="360"/>
      </w:pPr>
      <w:r>
        <w:t xml:space="preserve">6. Implementation Timeline</w:t>
      </w:r>
    </w:p>
    <w:p>
      <w:pPr>
        <w:pStyle w:val="Heading2"/>
        <w:spacing w:after="160" w:line="360"/>
      </w:pPr>
      <w:r>
        <w:t xml:space="preserve">Month 1 (April 2026)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MCP registry listing for sagereasoning-evaluation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GitHub repo launch (v3-stoic-brain-mcp): README, JSON schemas, example scripts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First developer article: "Why Your AI Agent Needs a Reasoning Layer"</w:t>
      </w:r>
    </w:p>
    <w:p>
      <w:pPr>
        <w:pStyle w:val="Heading2"/>
        <w:spacing w:after="160" w:line="360"/>
      </w:pPr>
      <w:r>
        <w:t xml:space="preserve">Month 2 (May 2026)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Developer articles 2–3: "Building Auditable AI Decisions" and "$0.0025 Decision Gate"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LessWrong post: "V3 Stoic Brain as AI Governance Infrastructure"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Initial SEO content (2–3 long-form articles on Stoic decision-making)</w:t>
      </w:r>
    </w:p>
    <w:p>
      <w:pPr>
        <w:pStyle w:val="Heading2"/>
        <w:spacing w:after="160" w:line="360"/>
      </w:pPr>
      <w:r>
        <w:t xml:space="preserve">Month 3 (June 2026)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Developer article 4: "From Reflexive to Sage-Like"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Community engagement: Developer forums, tech Slack communities, GitHub discussions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SEO content expansion (4–6 more long-form pieces)</w:t>
      </w:r>
    </w:p>
    <w:p>
      <w:pPr>
        <w:pStyle w:val="Heading2"/>
        <w:spacing w:after="160" w:line="360"/>
      </w:pPr>
      <w:r>
        <w:t xml:space="preserve">Months 4–6 (July–September 2026)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Organic growth phase: Monitor API key adoption, human user activation, tidings donation rate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Community building: Host developer AMAs, participate in AI safety forums, respond to GitHub issues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SEO content continues (10–15 articles published by M6)</w:t>
      </w:r>
    </w:p>
    <w:p>
      <w:pPr>
        <w:pStyle w:val="Heading2"/>
        <w:spacing w:after="160" w:line="360"/>
      </w:pPr>
      <w:r>
        <w:t xml:space="preserve">Months 7–12 (October 2026–March 2027)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Scale based on traction data: If API adoption is strong, invest in developer relations and partnerships. If human user base is growing, expand SEO and refine tidings model.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Monitor profitability. Break-even is Month 2–3. Any growth capital is reinvested into content, community, or infrastructure.</w:t>
      </w:r>
    </w:p>
    <w:r>
      <w:br w:type="page"/>
    </w:r>
    <w:p>
      <w:pPr>
        <w:pStyle w:val="Heading1"/>
        <w:spacing w:after="200" w:line="360"/>
      </w:pPr>
      <w:r>
        <w:t xml:space="preserve">7. What This Strategy Deliberately Avoids</w:t>
      </w:r>
    </w:p>
    <w:p>
      <w:pPr>
        <w:spacing w:after="240" w:line="360"/>
      </w:pPr>
      <w:r>
        <w:t xml:space="preserve">This strategy rejects common growth-hacking tactics, not for slowness, but because they corrupt unified virtue. Each rejected tactic is diagnosed against V3 passions:</w:t>
      </w:r>
    </w:p>
    <w:p>
      <w:pPr>
        <w:pStyle w:val="Heading2"/>
        <w:spacing w:after="160" w:line="360"/>
      </w:pPr>
      <w:r>
        <w:t xml:space="preserve">Growth hacking</w:t>
      </w:r>
    </w:p>
    <w:p>
      <w:pPr>
        <w:spacing w:after="240" w:line="360"/>
      </w:pPr>
      <w:r>
        <w:t xml:space="preserve">Viral loops, referral incentives, cohort re-engagement tricks. Rejected because: philodoxia (craving metrics over substance). If user acquisition is short-lived, velocity masks dysfunction. Slow, honest adoption is preferred indifferent. Fast, deceitful growth is not preferred at any cost.</w:t>
      </w:r>
    </w:p>
    <w:p>
      <w:pPr>
        <w:pStyle w:val="Heading2"/>
        <w:spacing w:after="160" w:line="360"/>
      </w:pPr>
      <w:r>
        <w:t xml:space="preserve">Dark UX</w:t>
      </w:r>
    </w:p>
    <w:p>
      <w:pPr>
        <w:spacing w:after="240" w:line="360"/>
      </w:pPr>
      <w:r>
        <w:t xml:space="preserve">Dark patterns, hidden cancellation flows, unsolicited notifications. Rejected because: violation of dikaiosyne (not giving users their due clarity). Every UI decision is visible and defends itself on principle.</w:t>
      </w:r>
    </w:p>
    <w:p>
      <w:pPr>
        <w:pStyle w:val="Heading2"/>
        <w:spacing w:after="160" w:line="360"/>
      </w:pPr>
      <w:r>
        <w:t xml:space="preserve">Artificial urgency</w:t>
      </w:r>
    </w:p>
    <w:p>
      <w:pPr>
        <w:spacing w:after="240" w:line="360"/>
      </w:pPr>
      <w:r>
        <w:t xml:space="preserve">Countdown timers, "limited spots", "only 3 left". Rejected because: sophrosyne (excessive impulse). Decisions forced under pressure are not sound. If SageReasoning is valuable, it is valuable tomorrow too.</w:t>
      </w:r>
    </w:p>
    <w:p>
      <w:pPr>
        <w:pStyle w:val="Heading2"/>
        <w:spacing w:after="160" w:line="360"/>
      </w:pPr>
      <w:r>
        <w:t xml:space="preserve">Fake testimonials</w:t>
      </w:r>
    </w:p>
    <w:p>
      <w:pPr>
        <w:spacing w:after="240" w:line="360"/>
      </w:pPr>
      <w:r>
        <w:t xml:space="preserve">Stock photos, fake reviews, "customers rave". Rejected because: aischyne (hiding intent). If the framework is source-cited and auditable, it does not need manufactured social proof.</w:t>
      </w:r>
    </w:p>
    <w:p>
      <w:pPr>
        <w:pStyle w:val="Heading2"/>
        <w:spacing w:after="160" w:line="360"/>
      </w:pPr>
      <w:r>
        <w:t xml:space="preserve">Unsustainable burn</w:t>
      </w:r>
    </w:p>
    <w:p>
      <w:pPr>
        <w:spacing w:after="240" w:line="360"/>
      </w:pPr>
      <w:r>
        <w:t xml:space="preserve">Venture capital to subsidize unit economics. Rejected because: orge (anger at slow growth leading to reckless scaling). Break-even by M2–3 is achievable. Growth that requires destroying profitability is not growth — it is insolvency dressed as ambition.</w:t>
      </w:r>
    </w:p>
    <w:p>
      <w:pPr>
        <w:pStyle w:val="Heading2"/>
        <w:spacing w:after="160" w:line="360"/>
      </w:pPr>
      <w:r>
        <w:t xml:space="preserve">Sacrificing source fidelity</w:t>
      </w:r>
    </w:p>
    <w:p>
      <w:pPr>
        <w:spacing w:after="240" w:line="360"/>
      </w:pPr>
      <w:r>
        <w:t xml:space="preserve">Simplifying Stoic concepts for marketability. Rejected because: phronesis (seeing clearly). If Stoicism is misrepresented, the entire framework collapses. No growth target justifies watering down primary sources.</w:t>
      </w:r>
    </w:p>
    <w:p>
      <w:pPr>
        <w:pStyle w:val="Heading2"/>
        <w:spacing w:after="160" w:line="360"/>
      </w:pPr>
      <w:r>
        <w:t xml:space="preserve">Pay-to-play reviews</w:t>
      </w:r>
    </w:p>
    <w:p>
      <w:pPr>
        <w:spacing w:after="240" w:line="360"/>
      </w:pPr>
      <w:r>
        <w:t xml:space="preserve">Sponsored product placements, influencer seeding, review site manipulation. Rejected because: dikaiosyne (corrupting trust). Honest feedback — including criticism — is owed to the community.</w:t>
      </w:r>
    </w:p>
    <w:p>
      <w:pPr>
        <w:pStyle w:val="Heading2"/>
        <w:spacing w:after="160" w:line="360"/>
      </w:pPr>
      <w:r>
        <w:t xml:space="preserve">SEO spam</w:t>
      </w:r>
    </w:p>
    <w:p>
      <w:pPr>
        <w:spacing w:after="240" w:line="360"/>
      </w:pPr>
      <w:r>
        <w:t xml:space="preserve">Keyword stuffing, private link farms, cloaking. Rejected because: andreia (acting rightly despite difficulty). Organic SEO is slower. That is the cost of integrity.</w:t>
      </w:r>
    </w:p>
    <w:p>
      <w:pPr>
        <w:pStyle w:val="Heading2"/>
        <w:spacing w:after="160" w:line="360"/>
      </w:pPr>
      <w:r>
        <w:t xml:space="preserve">R9 Covenant</w:t>
      </w:r>
    </w:p>
    <w:p>
      <w:pPr>
        <w:spacing w:after="240" w:line="360"/>
      </w:pPr>
      <w:r>
        <w:t xml:space="preserve">SageReasoning makes no promises about outcomes. Growth is a preferred indifferent — worth selecting, not worth compromising unified virtue for. If we reach Month 12 with 100 users and $1,000/month revenue, the framework is sound. If we reach Month 12 with 100,000 users and $100,000/month revenue through dark UX and false claims, the framework is corrupted.</w:t>
      </w:r>
    </w:p>
    <w:r>
      <w:br w:type="page"/>
    </w:r>
    <w:p>
      <w:pPr>
        <w:pStyle w:val="Heading1"/>
        <w:spacing w:after="200" w:line="360"/>
      </w:pPr>
      <w:r>
        <w:t xml:space="preserve">8. Success Metrics (at Month 12)</w:t>
      </w:r>
    </w:p>
    <w:p>
      <w:pPr>
        <w:pStyle w:val="Heading2"/>
        <w:spacing w:after="160" w:line="360"/>
      </w:pPr>
      <w:r>
        <w:t xml:space="preserve">Track 1 (AI Agents &amp; Developers)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25 active agent integrations (API keys in active use)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$9,117/month API revenue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90%+ API margin (weighted average across skill tiers)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&lt;5% churn on paid API keys (retention)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&gt;3 average calls per agent session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Positive developer NPS (Net Promoter Score)</w:t>
      </w:r>
    </w:p>
    <w:p>
      <w:pPr>
        <w:pStyle w:val="Heading2"/>
        <w:spacing w:after="160" w:line="360"/>
      </w:pPr>
      <w:r>
        <w:t xml:space="preserve">Track 2 (Human Users)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1,000+ active human users (monthly decision evaluations)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~$211/month tidings revenue (2% donor rate at $10.58 avg)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&lt;$0.03/user/month free tier cost (sage-guard pricing)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10+ long-form SEO articles published (organic traffic growth)</w:t>
      </w:r>
    </w:p>
    <w:p>
      <w:pPr>
        <w:pStyle w:val="Heading2"/>
        <w:spacing w:after="160" w:line="360"/>
      </w:pPr>
      <w:r>
        <w:t xml:space="preserve">Combined Results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M12 Total Revenue: $10,329/month ($105,821 annualised)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M12 Net Profit: $8,818/month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Break-even achieved: Month 2–3</w:t>
      </w:r>
    </w:p>
    <w:p>
      <w:pPr>
        <w:pStyle w:val="ListParagraph"/>
        <w:numPr>
          <w:ilvl w:val="0"/>
          <w:numId w:val="1"/>
        </w:numPr>
        <w:spacing w:after="240" w:line="240"/>
      </w:pPr>
      <w:r>
        <w:t xml:space="preserve">Zero debt, self-funded, profitable by M3</w:t>
      </w:r>
    </w:p>
    <w:r>
      <w:br w:type="page"/>
    </w:r>
    <w:p>
      <w:pPr>
        <w:pStyle w:val="Heading1"/>
        <w:spacing w:after="200" w:line="360"/>
      </w:pPr>
      <w:r>
        <w:t xml:space="preserve">9. Budget Summary</w:t>
      </w:r>
    </w:p>
    <w:p>
      <w:pPr>
        <w:pStyle w:val="Heading2"/>
        <w:spacing w:after="160" w:line="360"/>
      </w:pPr>
      <w:r>
        <w:t xml:space="preserve">Operational Costs (One-Time)</w:t>
      </w:r>
    </w:p>
    <w:p>
      <w:pPr>
        <w:spacing w:after="240" w:line="360"/>
      </w:pPr>
      <w:r>
        <w:t xml:space="preserve">Upfront investment: $5,674 (API infrastructure, domain, SSL, initial tooling)</w:t>
      </w:r>
    </w:p>
    <w:p>
      <w:pPr>
        <w:pStyle w:val="Heading2"/>
        <w:spacing w:after="160" w:line="360"/>
      </w:pPr>
      <w:r>
        <w:t xml:space="preserve">Fixed Monthly Costs</w:t>
      </w:r>
    </w:p>
    <w:p>
      <w:pPr>
        <w:spacing w:after="240" w:line="360"/>
      </w:pPr>
      <w:r>
        <w:t xml:space="preserve">$279/month (Vercel hosting, Xero accounting, domain renewal, liability insurance, misc.)</w:t>
      </w:r>
    </w:p>
    <w:p>
      <w:pPr>
        <w:pStyle w:val="Heading2"/>
        <w:spacing w:after="160" w:line="360"/>
      </w:pPr>
      <w:r>
        <w:t xml:space="preserve">Growth Budget (Year 1)</w:t>
      </w:r>
    </w:p>
    <w:p>
      <w:pPr>
        <w:spacing w:after="80" w:line="240"/>
      </w:pPr>
      <w:r>
        <w:t xml:space="preserve">Initiative | Cost | Notes</w:t>
      </w:r>
    </w:p>
    <w:p>
      <w:pPr>
        <w:spacing w:after="80" w:line="240"/>
      </w:pPr>
      <w:r>
        <w:t xml:space="preserve">MCP Registry listing | Free | Anthropic MCP registry</w:t>
      </w:r>
    </w:p>
    <w:p>
      <w:pPr>
        <w:spacing w:after="80" w:line="240"/>
      </w:pPr>
      <w:r>
        <w:t xml:space="preserve">GitHub repo (v3-stoic-brain-mcp) | $0 | Self-hosted, no cost</w:t>
      </w:r>
    </w:p>
    <w:p>
      <w:pPr>
        <w:spacing w:after="80" w:line="240"/>
      </w:pPr>
      <w:r>
        <w:t xml:space="preserve">Developer articles (4-series) | $0 | Self-written</w:t>
      </w:r>
    </w:p>
    <w:p>
      <w:pPr>
        <w:spacing w:after="80" w:line="240"/>
      </w:pPr>
      <w:r>
        <w:t xml:space="preserve">LessWrong post | $0 | Self-written</w:t>
      </w:r>
    </w:p>
    <w:p>
      <w:pPr>
        <w:spacing w:after="80" w:line="240"/>
      </w:pPr>
      <w:r>
        <w:t xml:space="preserve">SEO content (long-form articles) | $0–500/month | Self-written or freelance</w:t>
      </w:r>
    </w:p>
    <w:p>
      <w:pPr>
        <w:spacing w:after="80" w:line="240"/>
      </w:pPr>
      <w:r>
        <w:t xml:space="preserve">Community engagement | $0 | Organic participation</w:t>
      </w:r>
    </w:p>
    <w:p>
      <w:pPr>
        <w:spacing w:after="240" w:line="240"/>
      </w:pPr>
      <w:r>
        <w:t xml:space="preserve">Total growth budget | $0–500/month | Lean, sustainable</w:t>
      </w:r>
    </w:p>
    <w:p>
      <w:pPr>
        <w:spacing w:after="240" w:line="360"/>
      </w:pPr>
      <w:r>
        <w:t xml:space="preserve">Total growth spend (Year 1): $0–500/month</w:t>
      </w:r>
    </w:p>
    <w:p>
      <w:pPr>
        <w:pStyle w:val="Heading2"/>
        <w:spacing w:after="160" w:line="360"/>
      </w:pPr>
      <w:r>
        <w:t xml:space="preserve">Financial Position at Month 12</w:t>
      </w:r>
    </w:p>
    <w:p>
      <w:pPr>
        <w:spacing w:after="480" w:line="360"/>
      </w:pPr>
      <w:r>
        <w:t xml:space="preserve">At M12 net profit of $8,818/month ($105,821 annualised), growth budget is entirely self-funding. No external capital required. All profits can be reinvested or retained.</w:t>
      </w:r>
    </w:p>
    <w:p>
      <w:pPr>
        <w:spacing w:line="360"/>
        <w:jc w:val="center"/>
      </w:pPr>
      <w:r>
        <w:t xml:space="preserve">Ancient reasoning, modern application. Does not consider legal, medical, financial, or personal obligations.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2026-04-03T02:40:46.833Z</dcterms:created>
  <dcterms:modified xsi:type="dcterms:W3CDTF">2026-04-03T02:40:46.833Z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