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Arial" w:cs="Arial" w:eastAsia="Arial" w:hAnsi="Arial"/>
          <w:b/>
          <w:bCs/>
        </w:rPr>
        <w:t xml:space="preserve">Break-Even and Investment Analysis</w:t>
      </w:r>
    </w:p>
    <w:p>
      <w:pPr>
        <w:spacing w:after="200"/>
      </w:pPr>
      <w:r>
        <w:rPr>
          <w:rFonts w:ascii="Arial" w:cs="Arial" w:eastAsia="Arial" w:hAnsi="Arial"/>
          <w:b/>
          <w:bCs/>
          <w:i w:val="false"/>
          <w:iCs w:val="false"/>
          <w:color w:val="1F4E79"/>
          <w:sz w:val="24"/>
          <w:szCs w:val="24"/>
        </w:rPr>
        <w:t xml:space="preserve">SageReasoning V3 — Competitor-Anchored Pricing Model</w:t>
      </w:r>
    </w:p>
    <w:p>
      <w:pPr>
        <w:spacing w:after="200"/>
      </w:pPr>
      <w:r>
        <w:rPr>
          <w:rFonts w:ascii="Arial" w:cs="Arial" w:eastAsia="Arial" w:hAnsi="Arial"/>
          <w:b w:val="false"/>
          <w:bCs w:val="false"/>
          <w:i/>
          <w:iCs/>
          <w:color w:val="666666"/>
          <w:sz w:val="22"/>
          <w:szCs w:val="22"/>
        </w:rPr>
        <w:t xml:space="preserve">Version: 3 April 2026 | Pricing positioned at half the lowest competitor in each category</w:t>
      </w:r>
    </w:p>
    <w:p>
      <w:pPr>
        <w:spacing w:after="200"/>
      </w:pPr>
      <w:r>
        <w:rPr>
          <w:rFonts w:ascii="Arial" w:cs="Arial" w:eastAsia="Arial" w:hAnsi="Arial"/>
          <w:b w:val="false"/>
          <w:bCs w:val="false"/>
          <w:i w:val="false"/>
          <w:iCs w:val="false"/>
          <w:color w:val="000000"/>
          <w:sz w:val="22"/>
          <w:szCs w:val="22"/>
        </w:rPr>
        <w:t xml:space="preserve"/>
      </w:r>
    </w:p>
    <w:p>
      <w:pPr>
        <w:pStyle w:val="Heading2"/>
        <w:spacing w:after="200" w:before="240"/>
      </w:pPr>
      <w:r>
        <w:rPr>
          <w:rFonts w:ascii="Arial" w:cs="Arial" w:eastAsia="Arial" w:hAnsi="Arial"/>
          <w:b/>
          <w:bCs/>
        </w:rPr>
        <w:t xml:space="preserve">Executive Summary</w:t>
      </w:r>
    </w:p>
    <w:p>
      <w:pPr>
        <w:spacing w:after="200"/>
      </w:pPr>
      <w:r>
        <w:rPr>
          <w:rFonts w:ascii="Arial" w:cs="Arial" w:eastAsia="Arial" w:hAnsi="Arial"/>
          <w:b w:val="false"/>
          <w:bCs w:val="false"/>
          <w:i w:val="false"/>
          <w:iCs w:val="false"/>
          <w:color w:val="000000"/>
          <w:sz w:val="22"/>
          <w:szCs w:val="22"/>
        </w:rPr>
        <w:t xml:space="preserve">This analysis rebuilds the V3 break-even model using competitor-anchored pricing. The previous model priced every skill at 200% of LLM cost (Manifest rule R5), producing a flat 50% gross margin but significantly undercharging relative to market comparables. Deep market research identified three benchmark categories: LLM guardrails (Guardrails AI at $0.005/call), data enrichment APIs (Clearbit at $0.36/lookup), and personality assessment APIs (Crystal Knows at an estimated $1/profile). The new rule: price each product at half the lowest competitor in its category. This produces margins of 60–97% while remaining dramatically cheaper than every alternative on the market.</w:t>
      </w:r>
    </w:p>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The result is transformative. Month 12 API revenue increases from $1,849/month to $9,117/month — a 4.9× improvement — with the same agent count and call volumes. Break-even moves from Month 5–6 to Month 2–3. Maximum capital at risk drops from $7,474 to approximately $6,274. The business case, which was already viable, is now substantially stronger.</w:t>
      </w:r>
    </w:p>
    <w:p>
      <w:pPr>
        <w:spacing w:after="2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upfront investment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$5,674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fixed costs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$279/month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Paid skills in catalog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 (+ 1 free endpoint)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 range per API call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$0.0025 (sage-guard) to $0.50 (sage-diagnose)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Pricing rule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Half the lowest competitor in each category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Gross margin on API calls (weighted)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90.1% (range: 60–97%)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12 total revenue (base case)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$10,329/month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12 net profit (base case)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$8,818/month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Break-even month (cumulative)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Month 2–3 (base case)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capital at 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~$6,274</w:t>
            </w:r>
          </w:p>
        </w:tc>
      </w:tr>
    </w:tbl>
    <w:p>
      <w:pPr>
        <w:spacing w:after="200"/>
      </w:pPr>
      <w:r>
        <w:rPr>
          <w:rFonts w:ascii="Arial" w:cs="Arial" w:eastAsia="Arial" w:hAnsi="Arial"/>
          <w:b w:val="false"/>
          <w:bCs w:val="false"/>
          <w:i w:val="false"/>
          <w:iCs w:val="false"/>
          <w:color w:val="000000"/>
          <w:sz w:val="22"/>
          <w:szCs w:val="22"/>
        </w:rPr>
        <w:t xml:space="preserve"/>
      </w:r>
    </w:p>
    <w:p>
      <w:pPr>
        <w:pStyle w:val="Heading2"/>
        <w:spacing w:after="200" w:before="240"/>
      </w:pPr>
      <w:r>
        <w:rPr>
          <w:rFonts w:ascii="Arial" w:cs="Arial" w:eastAsia="Arial" w:hAnsi="Arial"/>
          <w:b/>
          <w:bCs/>
        </w:rPr>
        <w:t xml:space="preserve">What Changed from the Previous Model</w:t>
      </w:r>
    </w:p>
    <w:p>
      <w:pPr>
        <w:spacing w:after="200"/>
      </w:pPr>
      <w:r>
        <w:rPr>
          <w:rFonts w:ascii="Arial" w:cs="Arial" w:eastAsia="Arial" w:hAnsi="Arial"/>
          <w:b w:val="false"/>
          <w:bCs w:val="false"/>
          <w:i w:val="false"/>
          <w:iCs w:val="false"/>
          <w:color w:val="000000"/>
          <w:sz w:val="22"/>
          <w:szCs w:val="22"/>
        </w:rPr>
        <w:t xml:space="preserve">The previous break-even model priced all skills at exactly 200% of Anthropic API cost (R5 rule). This produced consistent 50% margins but ignored market positioning entirely. A sage-diagnose evaluation that delivers Crystal Knows–equivalent personality assessment was priced at $0.066 — over 15× cheaper than the cheapest competitor. This was not competitive positioning; it was undervaluation.</w:t>
      </w:r>
    </w:p>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The revised model anchors every price to half the lowest competitor in the relevant category. sage-guard moves from $0.001 to $0.0025 (half of Guardrails AI at $0.005). sage-diagnose and sage-profile move from $0.066 to $0.50 each (half of Crystal Knows at an estimated $1). All data-enrichment-category skills move from $0.025–$0.055 to $0.18 (half of Clearbit at $0.36). The R5 manifest rule is still satisfied: every price exceeds 2× LLM cost, most by 5–20×.</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2"/>
        <w:spacing w:after="200" w:before="240"/>
      </w:pPr>
      <w:r>
        <w:rPr>
          <w:rFonts w:ascii="Arial" w:cs="Arial" w:eastAsia="Arial" w:hAnsi="Arial"/>
          <w:b/>
          <w:bCs/>
        </w:rPr>
        <w:t xml:space="preserve">Competitor-Anchored Pricing Framework</w:t>
      </w:r>
    </w:p>
    <w:p>
      <w:pPr>
        <w:spacing w:after="2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Competitor Price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Price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LLM Guardrail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Guardrails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$0.005/call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$0.0025/call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Enrichment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Clearbit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$0.36/lookup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$0.18/call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Personality Assessment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Crystal Knows (est.)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$0.50/profile</w:t>
            </w:r>
          </w:p>
        </w:tc>
      </w:tr>
    </w:tbl>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This positions SageReasoning as the most affordable option in every category while maintaining margins of 60–97%. The guardrail category has the narrowest margin (80%) because the LLM cost per guard call is closest to the competitor-anchored price. The personality assessment category has the widest margin (97%) because the LLM cost for a deep evaluation ($0.0165) is a tiny fraction of the market price.</w:t>
      </w:r>
    </w:p>
    <w:p>
      <w:pPr>
        <w:spacing w:after="200"/>
      </w:pPr>
      <w:r>
        <w:rPr>
          <w:rFonts w:ascii="Arial" w:cs="Arial" w:eastAsia="Arial" w:hAnsi="Arial"/>
          <w:b w:val="false"/>
          <w:bCs w:val="false"/>
          <w:i w:val="false"/>
          <w:iCs w:val="false"/>
          <w:color w:val="000000"/>
          <w:sz w:val="22"/>
          <w:szCs w:val="22"/>
        </w:rPr>
        <w:t xml:space="preserve"/>
      </w:r>
    </w:p>
    <w:p>
      <w:pPr>
        <w:pStyle w:val="Heading2"/>
        <w:spacing w:after="200" w:before="240"/>
      </w:pPr>
      <w:r>
        <w:rPr>
          <w:rFonts w:ascii="Arial" w:cs="Arial" w:eastAsia="Arial" w:hAnsi="Arial"/>
          <w:b/>
          <w:bCs/>
        </w:rPr>
        <w:t xml:space="preserve">Revenue Impact by Agent Archetype</w:t>
      </w:r>
    </w:p>
    <w:p>
      <w:pPr>
        <w:spacing w:after="200"/>
      </w:pPr>
      <w:r>
        <w:rPr>
          <w:rFonts w:ascii="Arial" w:cs="Arial" w:eastAsia="Arial" w:hAnsi="Arial"/>
          <w:b w:val="false"/>
          <w:bCs w:val="false"/>
          <w:i w:val="false"/>
          <w:iCs w:val="false"/>
          <w:color w:val="000000"/>
          <w:sz w:val="22"/>
          <w:szCs w:val="22"/>
        </w:rPr>
        <w:t xml:space="preserve">The competitor-anchored pricing dramatically increases revenue per agent while using the same call volumes and skill mixes as the previous model.</w:t>
      </w:r>
    </w:p>
    <w:p>
      <w:pPr>
        <w:spacing w:after="2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200"/>
        <w:gridCol w:w="1200"/>
        <w:gridCol w:w="1200"/>
        <w:gridCol w:w="1450"/>
        <w:gridCol w:w="1220"/>
        <w:gridCol w:w="1220"/>
      </w:tblGrid>
      <w:tr>
        <w:tc>
          <w:tcPr>
            <w:tcW w:type="dxa" w:w="18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 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Calls/Mo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Old Rev</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Rev</w:t>
            </w:r>
          </w:p>
        </w:tc>
        <w:tc>
          <w:tcPr>
            <w:tcW w:type="dxa" w:w="14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Increase</w:t>
            </w:r>
          </w:p>
        </w:tc>
        <w:tc>
          <w:tcPr>
            <w:tcW w:type="dxa" w:w="1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LLM Cost</w:t>
            </w:r>
          </w:p>
        </w:tc>
        <w:tc>
          <w:tcPr>
            <w:tcW w:type="dxa" w:w="1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Margin %</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Reasoning Guard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20"/>
                <w:szCs w:val="20"/>
              </w:rPr>
              <w:t xml:space="preserve">$24.80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$120.50</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4.9×</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$12.40</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89.7%</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Decision 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20"/>
                <w:szCs w:val="20"/>
              </w:rPr>
              <w:t xml:space="preserve">$74.94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$384.90</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5.1×</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$37.47</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90.3%</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Compliance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20"/>
                <w:szCs w:val="20"/>
              </w:rPr>
              <w:t xml:space="preserve">$87.63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$438.30</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5.0×</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$43.81</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90.0%</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Personal Coach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20"/>
                <w:szCs w:val="20"/>
              </w:rPr>
              <w:t xml:space="preserve">$67.97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$334.85</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4.9×</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$33.99</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89.8%</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Full-Stack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20"/>
                <w:szCs w:val="20"/>
              </w:rPr>
              <w:t xml:space="preserve">$93.23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$470.55</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5.0×</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$46.62</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90.1%</w:t>
            </w:r>
          </w:p>
        </w:tc>
      </w:tr>
    </w:tbl>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Every agent archetype sees approximately a 5× revenue increase. The Full-Stack agent now generates $470.55/month with 90.1% gross margins. Even the lowest-revenue archetype (Reasoning Guard at $120.50/month) generates more revenue than the highest archetype did under the old pricing ($93.23 for Full-Stack).</w:t>
      </w:r>
    </w:p>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Under the old model, the Reasoning Guard generated $24.80/month because sage-guard at $0.001 produced almost no revenue despite high volume. Under competitor-anchored pricing, sage-guard at $0.0025 still anchors the gateway strategy but now contributes $14/month per Guard agent. The real revenue uplift comes from sage-score, sage-reason, and the domain skills, all of which moved from $0.025–$0.055 to $0.18.</w:t>
      </w:r>
    </w:p>
    <w:p>
      <w:r>
        <w:br w:type="page"/>
      </w:r>
    </w:p>
    <w:p>
      <w:pPr>
        <w:pStyle w:val="Heading2"/>
        <w:spacing w:after="200" w:before="240"/>
      </w:pPr>
      <w:r>
        <w:rPr>
          <w:rFonts w:ascii="Arial" w:cs="Arial" w:eastAsia="Arial" w:hAnsi="Arial"/>
          <w:b/>
          <w:bCs/>
        </w:rPr>
        <w:t xml:space="preserve">Break-Even Scenarios</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Scenario A: Prokoptos Subscriptions Only (No API Revenue)</w:t>
      </w:r>
    </w:p>
    <w:p>
      <w:pPr>
        <w:spacing w:after="200"/>
      </w:pPr>
      <w:r>
        <w:rPr>
          <w:rFonts w:ascii="Arial" w:cs="Arial" w:eastAsia="Arial" w:hAnsi="Arial"/>
          <w:b w:val="false"/>
          <w:bCs w:val="false"/>
          <w:i w:val="false"/>
          <w:iCs w:val="false"/>
          <w:color w:val="000000"/>
          <w:sz w:val="22"/>
          <w:szCs w:val="22"/>
        </w:rPr>
        <w:t xml:space="preserve">Unchanged from the previous model. With monthly fixed costs of $279 and net revenue of approximately $6.58 per subscriber after Stripe fees, SageReasoning needs 43 paying Prokoptos subscribers to break even on fixed costs alone. This scenario is the fallback floor if no agents adopt the API.</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Scenario B: Five Agents of Mixed Types</w:t>
      </w:r>
    </w:p>
    <w:p>
      <w:pPr>
        <w:spacing w:after="200"/>
      </w:pPr>
      <w:r>
        <w:rPr>
          <w:rFonts w:ascii="Arial" w:cs="Arial" w:eastAsia="Arial" w:hAnsi="Arial"/>
          <w:b w:val="false"/>
          <w:bCs w:val="false"/>
          <w:i w:val="false"/>
          <w:iCs w:val="false"/>
          <w:color w:val="000000"/>
          <w:sz w:val="22"/>
          <w:szCs w:val="22"/>
        </w:rPr>
        <w:t xml:space="preserve">Under old pricing, five Decision Support agents generated $187.35/month in gross margin (50%). Under new pricing, five Decision Support agents generate $384.90 × 5 = $1,924.50 in revenue with $187.35 in LLM costs, yielding $1,737.15 in gross margin. This exceeds the $279 monthly fixed cost by $1,458.15. Five agents of any type now produce surplus on their own — Prokoptos subscriptions are pure bonus.</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Scenario C: Diverse Agent Mix (Month 12 Base Case)</w:t>
      </w:r>
    </w:p>
    <w:p>
      <w:pPr>
        <w:spacing w:after="200"/>
      </w:pPr>
      <w:r>
        <w:rPr>
          <w:rFonts w:ascii="Arial" w:cs="Arial" w:eastAsia="Arial" w:hAnsi="Arial"/>
          <w:b w:val="false"/>
          <w:bCs w:val="false"/>
          <w:i w:val="false"/>
          <w:iCs w:val="false"/>
          <w:color w:val="000000"/>
          <w:sz w:val="22"/>
          <w:szCs w:val="22"/>
        </w:rPr>
        <w:t xml:space="preserve">With 25 paid agents (3 Guard, 8 Decision, 3 Compliance, 6 Coach, 5 Full-Stack), API revenue reaches $9,117/month at an LLM cost of $905/month. Adding $490 in Prokoptos subscriptions and $722 in supplementary revenue, total revenue reaches $10,329/month. After all costs ($1,511/month including fixed costs, LLM costs, free tier, and Stripe), net profit is $8,818/month.</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Scenario D: Bear Case (4 Agents, No Prokoptos)</w:t>
      </w:r>
    </w:p>
    <w:p>
      <w:pPr>
        <w:spacing w:after="200"/>
      </w:pPr>
      <w:r>
        <w:rPr>
          <w:rFonts w:ascii="Arial" w:cs="Arial" w:eastAsia="Arial" w:hAnsi="Arial"/>
          <w:b w:val="false"/>
          <w:bCs w:val="false"/>
          <w:i w:val="false"/>
          <w:iCs w:val="false"/>
          <w:color w:val="000000"/>
          <w:sz w:val="22"/>
          <w:szCs w:val="22"/>
        </w:rPr>
        <w:t xml:space="preserve">Even in the worst case — only 4 agents adopt the API and no human subscribes — the model generates approximately $1,300–$1,800/month in API revenue depending on agent type mix. After LLM costs (roughly $130–$180) and fixed costs ($279), the business remains profitable. Under old pricing, 4 agents generated approximately $240–$350 in total revenue, barely covering fixed costs. Competitor-anchored pricing makes the bear case comfortable rather than marginal.</w:t>
      </w:r>
    </w:p>
    <w:p>
      <w:r>
        <w:br w:type="page"/>
      </w:r>
    </w:p>
    <w:p>
      <w:pPr>
        <w:pStyle w:val="Heading2"/>
        <w:spacing w:after="200" w:before="240"/>
      </w:pPr>
      <w:r>
        <w:rPr>
          <w:rFonts w:ascii="Arial" w:cs="Arial" w:eastAsia="Arial" w:hAnsi="Arial"/>
          <w:b/>
          <w:bCs/>
        </w:rPr>
        <w:t xml:space="preserve">Investment Case</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Upfront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Pty Ltd Registration (ASIC)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register.business.gov.au</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Name Registration (3yr)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ASIC</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Legal Review (Terms + Privacy)</w:t>
            </w:r>
          </w:p>
        </w:tc>
        <w:tc>
          <w:tcPr>
            <w:tcW w:type="dxa" w:w="200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Australian tech lawyer est.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 + Cyber Insurance (Year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Startupcover/BizCover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Domain, Stripe, Director 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Already owned / free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$5,674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Upfront investment is unchanged. The pricing strategy affects revenue, not setup costs.</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Maximum Capital at Risk</w:t>
      </w:r>
    </w:p>
    <w:p>
      <w:pPr>
        <w:spacing w:after="200"/>
      </w:pPr>
      <w:r>
        <w:rPr>
          <w:rFonts w:ascii="Arial" w:cs="Arial" w:eastAsia="Arial" w:hAnsi="Arial"/>
          <w:b w:val="false"/>
          <w:bCs w:val="false"/>
          <w:i w:val="false"/>
          <w:iCs w:val="false"/>
          <w:color w:val="000000"/>
          <w:sz w:val="22"/>
          <w:szCs w:val="22"/>
        </w:rPr>
        <w:t xml:space="preserve">Maximum capital at risk drops significantly under competitor-anchored pricing. Because even 2–3 paid agents now cover monthly fixed costs with surplus, the cumulative loss period is shorter and shallower. The worst case is approximately $6,274: the upfront investment ($5,674) plus 2–3 months of early operating losses while the first agents onboard. Under old pricing, maximum capital at risk was approximately $7,474 with a 5–6 month loss period.</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Return Profile: Old vs New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Old Pricing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Pricing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12 API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$1,811/mo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$9,117/mo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12 Total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$3,023/mo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$10,329/mo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3.4×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12 Net Profit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~$1,658/mo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$8,818/mo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Break-Even 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Month 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Month 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 months earlier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Annualised Run Rate (M12)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~$19,895/yr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~$105,821/yr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Upfront Payback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Month 12–14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000"/>
                <w:sz w:val="20"/>
                <w:szCs w:val="20"/>
              </w:rPr>
              <w:t xml:space="preserve">Month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 months earlier</w:t>
            </w:r>
          </w:p>
        </w:tc>
      </w:tr>
    </w:tbl>
    <w:p>
      <w:r>
        <w:br w:type="page"/>
      </w:r>
    </w:p>
    <w:p>
      <w:pPr>
        <w:pStyle w:val="Heading2"/>
        <w:spacing w:after="200" w:before="240"/>
      </w:pPr>
      <w:r>
        <w:rPr>
          <w:rFonts w:ascii="Arial" w:cs="Arial" w:eastAsia="Arial" w:hAnsi="Arial"/>
          <w:b/>
          <w:bCs/>
        </w:rPr>
        <w:t xml:space="preserve">Structural Advantages of Competitor-Anchored Pricing</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Still the Cheapest Option in Every Category</w:t>
      </w:r>
    </w:p>
    <w:p>
      <w:pPr>
        <w:spacing w:after="200"/>
      </w:pPr>
      <w:r>
        <w:rPr>
          <w:rFonts w:ascii="Arial" w:cs="Arial" w:eastAsia="Arial" w:hAnsi="Arial"/>
          <w:b w:val="false"/>
          <w:bCs w:val="false"/>
          <w:i w:val="false"/>
          <w:iCs w:val="false"/>
          <w:color w:val="000000"/>
          <w:sz w:val="22"/>
          <w:szCs w:val="22"/>
        </w:rPr>
        <w:t xml:space="preserve">At half the price of the lowest competitor, SageReasoning is the most affordable option in every category it enters. This is a powerful marketing position: developers evaluating guardrail, enrichment, or assessment APIs will find SageReasoning at 50% of the next-cheapest alternative. Price sensitivity is the primary barrier to API adoption, and this strategy eliminates it.</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R5 Manifest Rule Remains Satisfied</w:t>
      </w:r>
    </w:p>
    <w:p>
      <w:pPr>
        <w:spacing w:after="200"/>
      </w:pPr>
      <w:r>
        <w:rPr>
          <w:rFonts w:ascii="Arial" w:cs="Arial" w:eastAsia="Arial" w:hAnsi="Arial"/>
          <w:b w:val="false"/>
          <w:bCs w:val="false"/>
          <w:i w:val="false"/>
          <w:iCs w:val="false"/>
          <w:color w:val="000000"/>
          <w:sz w:val="22"/>
          <w:szCs w:val="22"/>
        </w:rPr>
        <w:t xml:space="preserve">The R5 rule requires all prices to exceed 200% of LLM cost. Under competitor-anchored pricing, the narrowest margin is sage-guard at $0.0025 versus an LLM cost of $0.0005 (5× markup, well above the 2× floor). Most skills exceed 10× markup. The R5 rule is a floor, not a ceiling, and competitor-anchored pricing simply raises the ceiling substantially.</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Variable Margins Create a Healthier Business</w:t>
      </w:r>
    </w:p>
    <w:p>
      <w:pPr>
        <w:spacing w:after="200"/>
      </w:pPr>
      <w:r>
        <w:rPr>
          <w:rFonts w:ascii="Arial" w:cs="Arial" w:eastAsia="Arial" w:hAnsi="Arial"/>
          <w:b w:val="false"/>
          <w:bCs w:val="false"/>
          <w:i w:val="false"/>
          <w:iCs w:val="false"/>
          <w:color w:val="000000"/>
          <w:sz w:val="22"/>
          <w:szCs w:val="22"/>
        </w:rPr>
        <w:t xml:space="preserve">The old flat-50% model meant every dollar of revenue cost fifty cents to deliver. The new model produces margins of 60–97%, with a weighted average around 90%. This means LLM cost increases have much more room to absorb before threatening profitability. A 2× LLM cost increase (Mythos scenario) under old pricing would have required raising all customer prices to maintain margins. Under competitor-anchored pricing, a 2× LLM cost increase compresses margins from ~90% to ~80% without any customer price change.</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Revenue Diversity is Preserved</w:t>
      </w:r>
    </w:p>
    <w:p>
      <w:pPr>
        <w:spacing w:after="200"/>
      </w:pPr>
      <w:r>
        <w:rPr>
          <w:rFonts w:ascii="Arial" w:cs="Arial" w:eastAsia="Arial" w:hAnsi="Arial"/>
          <w:b w:val="false"/>
          <w:bCs w:val="false"/>
          <w:i w:val="false"/>
          <w:iCs w:val="false"/>
          <w:color w:val="000000"/>
          <w:sz w:val="22"/>
          <w:szCs w:val="22"/>
        </w:rPr>
        <w:t xml:space="preserve">With 29 paid skills across 7 categories, no single skill dominates. The pricing uplift is distributed across the entire catalog, not concentrated in one or two premium skills. If compliance demand slows, decision support and coaching archetypes still generate strong revenue independently.</w:t>
      </w:r>
    </w:p>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Deliberation Chains Are More Valuable</w:t>
      </w:r>
    </w:p>
    <w:p>
      <w:pPr>
        <w:spacing w:after="200"/>
      </w:pPr>
      <w:r>
        <w:rPr>
          <w:rFonts w:ascii="Arial" w:cs="Arial" w:eastAsia="Arial" w:hAnsi="Arial"/>
          <w:b w:val="false"/>
          <w:bCs w:val="false"/>
          <w:i w:val="false"/>
          <w:iCs w:val="false"/>
          <w:color w:val="000000"/>
          <w:sz w:val="22"/>
          <w:szCs w:val="22"/>
        </w:rPr>
        <w:t xml:space="preserve">sage-iterate at $0.18 per iteration (up from $0.033) means a 2.5-iteration deliberation chain generates $0.45 in total revenue, up from $0.083. Agents that adopt deliberation patterns become significantly more valuable customers. This creates a natural upsell path: developers start with guard ($0.0025), discover reason ($0.18), and eventually adopt iterate ($0.45/chain).</w:t>
      </w:r>
    </w:p>
    <w:p>
      <w:r>
        <w:br w:type="page"/>
      </w:r>
    </w:p>
    <w:p>
      <w:pPr>
        <w:pStyle w:val="Heading2"/>
        <w:spacing w:after="200" w:before="240"/>
      </w:pPr>
      <w:r>
        <w:rPr>
          <w:rFonts w:ascii="Arial" w:cs="Arial" w:eastAsia="Arial" w:hAnsi="Arial"/>
          <w:b/>
          <w:bCs/>
        </w:rPr>
        <w:t xml:space="preserve">Mythos Cost Scenario (Revised)</w:t>
      </w:r>
    </w:p>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Under the old model (price = 2× LLM cost), a Mythos-driven LLM cost increase was structurally neutral: both cost and price scaled equally, margin percentage stayed at 50%. Under competitor-anchored pricing, the dynamic is different. Prices are anchored to market competitors, not to LLM costs. When LLM costs increase, prices stay the same and margins compress.</w:t>
      </w:r>
    </w:p>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If Anthropic Mythos doubles per-token costs (estimated Q3–Q4 2026), LLM costs for the Month 12 agent mix increase from $905/month to approximately $1,811/month. Revenue stays at $9,117/month because prices are competitor-anchored. Gross margin compresses from 90.1% to 80.1%. Net profit drops from $8,818/month to approximately $7,913/month.</w:t>
      </w:r>
    </w:p>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Even under this compression, the business remains comfortably profitable. A net profit of $7,913/month still represents a strong return on a $5,674 investment. The Mythos scenario is no longer neutral (as it was under old pricing) but it is manageable. And if competitors raise their prices in response to the same underlying cost pressure, SageReasoning’s half-competitor-price rule would allow proportional increases.</w:t>
      </w:r>
    </w:p>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Phase 13 prompt simplification (which reduced tokens by approximately 23%) partially offsets Mythos cost increases by reducing the token count even with a more expensive model.</w:t>
      </w:r>
    </w:p>
    <w:p>
      <w:r>
        <w:br w:type="page"/>
      </w:r>
    </w:p>
    <w:p>
      <w:pPr>
        <w:pStyle w:val="Heading2"/>
        <w:spacing w:after="200" w:before="240"/>
      </w:pPr>
      <w:r>
        <w:rPr>
          <w:rFonts w:ascii="Arial" w:cs="Arial" w:eastAsia="Arial" w:hAnsi="Arial"/>
          <w:b/>
          <w:bCs/>
        </w:rPr>
        <w:t xml:space="preserve">Key Risks and Assumptions</w:t>
      </w:r>
    </w:p>
    <w:p>
      <w:pPr>
        <w:spacing w:after="2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adoption slower than projected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Fewer paid agents. Bear case: 4 agents at Month 12.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agents of mixed types generate $1,300–$1,800/month revenue, comfortably exceeding costs.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Anthropic cost increase beyond 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Margins compress. At 3× cost, margins drop to ~70%. At 4×, margins hit ~60%.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Competitor prices would also rise, allowing SageReasoning to raise prices proportionally. 60% margin is still viable.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Competitors undercut our half-price position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competitor prices below our half-market rate.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Our LLM costs are 3–20% of our prices. Room to reduce further if needed, or differentiate on Stoic evaluation quality.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Competition from native AI reasoning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Models gain built-in reasoning without external tools.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Compliance infrastructure, source fidelity (R7), and auditable evaluation trails are not replicable by raw reasoning.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Skill usage concentrated in few skills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diversity benefit reduced.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Even concentrated usage maintains 60–97% margin. Diverse catalog invites exploration over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tier costs exceed projections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tier is guard-centered at $0.0025/call. Even 10,000 free calls = $25/month.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tier capped at 100 calls/month. Maximum cost per free user: ~$0.25/month.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 comparables shift downward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Clearbit or similar drop prices, our half-price anchor drops too.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Even at half current prices ($0.09 instead of $0.18), margins remain above 50% for all skills.</w:t>
            </w:r>
          </w:p>
        </w:tc>
      </w:tr>
    </w:tbl>
    <w:p>
      <w:pPr>
        <w:spacing w:after="200"/>
      </w:pPr>
      <w:r>
        <w:rPr>
          <w:rFonts w:ascii="Arial" w:cs="Arial" w:eastAsia="Arial" w:hAnsi="Arial"/>
          <w:b w:val="false"/>
          <w:bCs w:val="false"/>
          <w:i w:val="false"/>
          <w:iCs w:val="false"/>
          <w:color w:val="000000"/>
          <w:sz w:val="22"/>
          <w:szCs w:val="22"/>
        </w:rPr>
        <w:t xml:space="preserve"/>
      </w:r>
    </w:p>
    <w:p>
      <w:pPr>
        <w:pStyle w:val="Heading3"/>
        <w:spacing w:after="200" w:before="240"/>
      </w:pPr>
      <w:r>
        <w:rPr>
          <w:rFonts w:ascii="Arial" w:cs="Arial" w:eastAsia="Arial" w:hAnsi="Arial"/>
          <w:b/>
          <w:bCs/>
        </w:rPr>
        <w:t xml:space="preserve">Assumptions That Must Hold</w:t>
      </w:r>
    </w:p>
    <w:p>
      <w:pPr>
        <w:spacing w:after="200"/>
      </w:pPr>
      <w:r>
        <w:rPr>
          <w:rFonts w:ascii="Arial" w:cs="Arial" w:eastAsia="Arial" w:hAnsi="Arial"/>
          <w:b w:val="false"/>
          <w:bCs w:val="false"/>
          <w:i w:val="false"/>
          <w:iCs w:val="false"/>
          <w:color w:val="000000"/>
          <w:sz w:val="22"/>
          <w:szCs w:val="22"/>
        </w:rPr>
        <w:t xml:space="preserve">The model assumes: (1) Anthropic API remains available and commercially viable, (2) the MCP registry and API directories continue to drive agent developer discovery, (3) the Stoic niche community provides sufficient organic human traffic without paid advertising, (4) at least 5% of registered humans and 8% of registered agents convert to paid tiers, and (5) market comparables (Guardrails AI, Clearbit, Crystal Knows) maintain pricing at or above current levels for the first 12 months. If any of these assumptions fail, the bear case timeline applies — which, under competitor-anchored pricing, is still profitable.</w:t>
      </w:r>
    </w:p>
    <w:p>
      <w:pPr>
        <w:spacing w:after="200"/>
      </w:pPr>
      <w:r>
        <w:rPr>
          <w:rFonts w:ascii="Arial" w:cs="Arial" w:eastAsia="Arial" w:hAnsi="Arial"/>
          <w:b w:val="false"/>
          <w:bCs w:val="false"/>
          <w:i w:val="false"/>
          <w:iCs w:val="false"/>
          <w:color w:val="000000"/>
          <w:sz w:val="22"/>
          <w:szCs w:val="22"/>
        </w:rPr>
        <w:t xml:space="preserve"/>
      </w:r>
    </w:p>
    <w:p>
      <w:pPr>
        <w:pStyle w:val="Heading2"/>
        <w:spacing w:after="200" w:before="240"/>
      </w:pPr>
      <w:r>
        <w:rPr>
          <w:rFonts w:ascii="Arial" w:cs="Arial" w:eastAsia="Arial" w:hAnsi="Arial"/>
          <w:b/>
          <w:bCs/>
        </w:rPr>
        <w:t xml:space="preserve">Conclusion</w:t>
      </w:r>
    </w:p>
    <w:p>
      <w:pPr>
        <w:spacing w:after="200"/>
      </w:pPr>
      <w:r>
        <w:rPr>
          <w:rFonts w:ascii="Arial" w:cs="Arial" w:eastAsia="Arial" w:hAnsi="Arial"/>
          <w:b w:val="false"/>
          <w:bCs w:val="false"/>
          <w:i w:val="false"/>
          <w:iCs w:val="false"/>
          <w:color w:val="000000"/>
          <w:sz w:val="22"/>
          <w:szCs w:val="22"/>
        </w:rPr>
        <w:t xml:space="preserve">Competitor-anchored pricing transforms the SageReasoning investment case. The same $5,674 upfront investment and $279/month fixed costs now generate $8,818/month in net profit at Month 12 instead of the previous model’s figure. Break-even arrives in Month 2–3 instead of Month 5–6. The annualised run rate at Month 12 is approximately $105,821/year. The business is not merely viable; it is robustly profitable under every scenario tested, including the bear case and the Mythos cost-increase scenario.</w:t>
      </w:r>
    </w:p>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The key insight is that SageReasoning was pricing based on cost of production rather than value delivered. The market comparables demonstrate that assessment, enrichment, and guardrail APIs command significantly higher prices than the LLM costs underlying them. Positioning at half the market price captures the value premium while maintaining the competitive advantage of being the cheapest option available.</w:t>
      </w:r>
    </w:p>
    <w:p>
      <w:pPr>
        <w:spacing w:after="20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iCs/>
          <w:color w:val="999999"/>
          <w:sz w:val="18"/>
          <w:szCs w:val="18"/>
        </w:rPr>
        <w:t xml:space="preserve">Ancient reasoning, modern application. Does not consider legal, medical, financial, or personal obligations.</w:t>
      </w:r>
    </w:p>
    <w:p>
      <w:pPr>
        <w:spacing w:after="200"/>
      </w:pPr>
      <w:r>
        <w:rPr>
          <w:rFonts w:ascii="Arial" w:cs="Arial" w:eastAsia="Arial" w:hAnsi="Arial"/>
          <w:b w:val="false"/>
          <w:bCs w:val="false"/>
          <w:i/>
          <w:iCs/>
          <w:color w:val="999999"/>
          <w:sz w:val="18"/>
          <w:szCs w:val="18"/>
        </w:rPr>
        <w:t xml:space="preserve">This document is a financial projection, not financial advice. All figures are estimates based on stated assumptions. Actual results may differ.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SageReasoning — Break-Even &amp; Investment Analysis (V3 Competitor-Anchored Pricing)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1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2026-04-03T01:09:59.178Z</dcterms:created>
  <dcterms:modified xsi:type="dcterms:W3CDTF">2026-04-03T01:09:59.178Z</dcterms:modified>
</cp:coreProperties>
</file>

<file path=docProps/custom.xml><?xml version="1.0" encoding="utf-8"?>
<Properties xmlns="http://schemas.openxmlformats.org/officeDocument/2006/custom-properties" xmlns:vt="http://schemas.openxmlformats.org/officeDocument/2006/docPropsVTypes"/>
</file>