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240"/>
      </w:pPr>
      <w:r>
        <w:rPr>
          <w:rFonts w:ascii="Arial" w:cs="Arial" w:eastAsia="Arial" w:hAnsi="Arial"/>
          <w:b/>
          <w:bCs/>
        </w:rPr>
        <w:t xml:space="preserve">Market Research: API Pricing, Developer Willingness-to-Pay, and Volume Gating Strategy</w:t>
      </w:r>
    </w:p>
    <w:p>
      <w:pPr>
        <w:spacing w:after="200"/>
      </w:pPr>
      <w:r>
        <w:rPr>
          <w:rFonts w:ascii="Arial" w:cs="Arial" w:eastAsia="Arial" w:hAnsi="Arial"/>
          <w:b/>
          <w:bCs/>
          <w:color w:val="1F4E79"/>
          <w:sz w:val="24"/>
          <w:szCs w:val="24"/>
        </w:rPr>
        <w:t xml:space="preserve">SageReasoning V3 — Competitive Pricing Analysis &amp; Recommendations</w:t>
      </w:r>
    </w:p>
    <w:p>
      <w:pPr>
        <w:spacing w:after="200"/>
      </w:pPr>
      <w:r>
        <w:rPr>
          <w:rFonts w:ascii="Arial" w:cs="Arial" w:eastAsia="Arial" w:hAnsi="Arial"/>
          <w:i/>
          <w:iCs/>
          <w:color w:val="666666"/>
          <w:sz w:val="22"/>
          <w:szCs w:val="22"/>
        </w:rPr>
        <w:t xml:space="preserve">3 April 2026 | Research covers AI guardrail APIs, evaluation platforms, and developer middleware pricing patterns</w:t>
      </w:r>
    </w:p>
    <w:p>
      <w:pPr>
        <w:spacing w:after="200"/>
      </w:pPr>
      <w:r>
        <w:rPr>
          <w:rFonts w:ascii="Arial" w:cs="Arial" w:eastAsia="Arial" w:hAnsi="Arial"/>
          <w:color w:val="000000"/>
          <w:sz w:val="22"/>
          <w:szCs w:val="22"/>
        </w:rPr>
        <w:t xml:space="preserve"/>
      </w:r>
    </w:p>
    <w:p>
      <w:pPr>
        <w:pStyle w:val="Heading2"/>
        <w:spacing w:after="200" w:before="240"/>
      </w:pPr>
      <w:r>
        <w:rPr>
          <w:rFonts w:ascii="Arial" w:cs="Arial" w:eastAsia="Arial" w:hAnsi="Arial"/>
          <w:b/>
          <w:bCs/>
        </w:rPr>
        <w:t xml:space="preserve">Executive Summary</w:t>
      </w:r>
    </w:p>
    <w:p>
      <w:pPr>
        <w:spacing w:after="200"/>
      </w:pPr>
      <w:r>
        <w:rPr>
          <w:rFonts w:ascii="Arial" w:cs="Arial" w:eastAsia="Arial" w:hAnsi="Arial"/>
          <w:color w:val="000000"/>
          <w:sz w:val="22"/>
          <w:szCs w:val="22"/>
        </w:rPr>
        <w:t xml:space="preserve">This report examines what developers and agent builders are willing to pay for AI middleware APIs in 2026, how comparable services structure their free tiers and rate limits, and what these findings mean for SageReasoning’s pricing and gating strategy. The research draws on published pricing from AWS Bedrock Guardrails, NVIDIA NeMo Guardrails, Guardrails AI, OpenGuardrails, Galileo AI, OpenAI, Google Perspective, and broader AI SaaS pricing benchmarks.</w:t>
      </w:r>
    </w:p>
    <w:p>
      <w:pPr>
        <w:spacing w:after="200"/>
      </w:pPr>
      <w:r>
        <w:rPr>
          <w:rFonts w:ascii="Arial" w:cs="Arial" w:eastAsia="Arial" w:hAnsi="Arial"/>
          <w:color w:val="000000"/>
          <w:sz w:val="22"/>
          <w:szCs w:val="22"/>
        </w:rPr>
        <w:t xml:space="preserve"/>
      </w:r>
    </w:p>
    <w:p>
      <w:pPr>
        <w:spacing w:after="200"/>
      </w:pPr>
      <w:r>
        <w:rPr>
          <w:rFonts w:ascii="Arial" w:cs="Arial" w:eastAsia="Arial" w:hAnsi="Arial"/>
          <w:color w:val="000000"/>
          <w:sz w:val="22"/>
          <w:szCs w:val="22"/>
        </w:rPr>
        <w:t xml:space="preserve">Three headline findings drive the recommendations that follow.</w:t>
      </w:r>
    </w:p>
    <w:p>
      <w:pPr>
        <w:spacing w:after="200"/>
      </w:pPr>
      <w:r>
        <w:rPr>
          <w:rFonts w:ascii="Arial" w:cs="Arial" w:eastAsia="Arial" w:hAnsi="Arial"/>
          <w:color w:val="000000"/>
          <w:sz w:val="22"/>
          <w:szCs w:val="22"/>
        </w:rPr>
        <w:t xml:space="preserve"/>
      </w:r>
    </w:p>
    <w:p>
      <w:pPr>
        <w:spacing w:after="200"/>
      </w:pPr>
      <w:r>
        <w:rPr>
          <w:rFonts w:ascii="Arial" w:cs="Arial" w:eastAsia="Arial" w:hAnsi="Arial"/>
          <w:color w:val="000000"/>
          <w:sz w:val="22"/>
          <w:szCs w:val="22"/>
        </w:rPr>
        <w:t xml:space="preserve">First, SageReasoning’s per-call pricing is competitive and, in the case of sage-guard, dramatically below market. AWS Bedrock charges $0.15 per 1,000 text units for content filtering. sage-guard charges $0.001 per call for a reasoning-based binary gate. Even comparing like-for-like, SageReasoning’s evaluation skills ($0.033–$0.066) sit within the $0.01–$0.10 range that developers expect for complex AI actions.</w:t>
      </w:r>
    </w:p>
    <w:p>
      <w:pPr>
        <w:spacing w:after="200"/>
      </w:pPr>
      <w:r>
        <w:rPr>
          <w:rFonts w:ascii="Arial" w:cs="Arial" w:eastAsia="Arial" w:hAnsi="Arial"/>
          <w:color w:val="000000"/>
          <w:sz w:val="22"/>
          <w:szCs w:val="22"/>
        </w:rPr>
        <w:t xml:space="preserve"/>
      </w:r>
    </w:p>
    <w:p>
      <w:pPr>
        <w:spacing w:after="200"/>
      </w:pPr>
      <w:r>
        <w:rPr>
          <w:rFonts w:ascii="Arial" w:cs="Arial" w:eastAsia="Arial" w:hAnsi="Arial"/>
          <w:color w:val="000000"/>
          <w:sz w:val="22"/>
          <w:szCs w:val="22"/>
        </w:rPr>
        <w:t xml:space="preserve">Second, the current free tier is simultaneously too restrictive for evaluation and not restrictive enough for conversion. One API call per day is not enough for a developer to properly test integration, but the permanent nature of the free tier creates no urgency to convert. The research strongly supports a 30-day full evaluation window (matching Anthropic’s model) followed by a reduced free tier, rather than a permanently crippled experience.</w:t>
      </w:r>
    </w:p>
    <w:p>
      <w:pPr>
        <w:spacing w:after="200"/>
      </w:pPr>
      <w:r>
        <w:rPr>
          <w:rFonts w:ascii="Arial" w:cs="Arial" w:eastAsia="Arial" w:hAnsi="Arial"/>
          <w:color w:val="000000"/>
          <w:sz w:val="22"/>
          <w:szCs w:val="22"/>
        </w:rPr>
        <w:t xml:space="preserve"/>
      </w:r>
    </w:p>
    <w:p>
      <w:pPr>
        <w:spacing w:after="200"/>
      </w:pPr>
      <w:r>
        <w:rPr>
          <w:rFonts w:ascii="Arial" w:cs="Arial" w:eastAsia="Arial" w:hAnsi="Arial"/>
          <w:color w:val="000000"/>
          <w:sz w:val="22"/>
          <w:szCs w:val="22"/>
        </w:rPr>
        <w:t xml:space="preserve">Third, rate limits should vary by application type, not be a flat 500/day default. A Guard agent needs 10,000+ calls/day to be useful in production. A Coach agent works fine at 500/day. Flat limits either frustrate high-volume users or leave low-volume users unaware of what they’re paying for.</w:t>
      </w:r>
    </w:p>
    <w:r>
      <w:br w:type="page"/>
    </w:r>
    <w:p>
      <w:pPr>
        <w:pStyle w:val="Heading2"/>
        <w:spacing w:after="200" w:before="240"/>
      </w:pPr>
      <w:r>
        <w:rPr>
          <w:rFonts w:ascii="Arial" w:cs="Arial" w:eastAsia="Arial" w:hAnsi="Arial"/>
          <w:b/>
          <w:bCs/>
        </w:rPr>
        <w:t xml:space="preserve">The Competitive Pricing Landscape</w:t>
      </w:r>
    </w:p>
    <w:p>
      <w:pPr>
        <w:pStyle w:val="Heading3"/>
        <w:spacing w:after="200" w:before="240"/>
      </w:pPr>
      <w:r>
        <w:rPr>
          <w:rFonts w:ascii="Arial" w:cs="Arial" w:eastAsia="Arial" w:hAnsi="Arial"/>
          <w:b/>
          <w:bCs/>
        </w:rPr>
        <w:t xml:space="preserve">What Developers Are Paying for AI Safety and Evaluation</w:t>
      </w:r>
    </w:p>
    <w:p>
      <w:pPr>
        <w:spacing w:after="200"/>
      </w:pPr>
      <w:r>
        <w:rPr>
          <w:rFonts w:ascii="Arial" w:cs="Arial" w:eastAsia="Arial" w:hAnsi="Arial"/>
          <w:color w:val="000000"/>
          <w:sz w:val="22"/>
          <w:szCs w:val="22"/>
        </w:rPr>
        <w:t xml:space="preserve">The AI guardrail and evaluation market in 2026 is split into three pricing tiers. At the bottom, open-source frameworks like NVIDIA NeMo Guardrails and Guardrails AI’s core library are free to self-host. In the middle, managed cloud services charge $100–$500+ per month for hosted validation, observability, and support. Galileo’s Pro tier starts at $100/month for 50,000 traces. At the top, enterprise platforms like AWS Bedrock Guardrails charge per-unit usage ($0.15 per 1,000 text units for content filtering and denied topic detection), and Dynamo AI provides custom enterprise pricing.</w:t>
      </w:r>
    </w:p>
    <w:p>
      <w:pPr>
        <w:spacing w:after="200"/>
      </w:pPr>
      <w:r>
        <w:rPr>
          <w:rFonts w:ascii="Arial" w:cs="Arial" w:eastAsia="Arial" w:hAnsi="Arial"/>
          <w:color w:val="000000"/>
          <w:sz w:val="22"/>
          <w:szCs w:val="22"/>
        </w:rPr>
        <w:t xml:space="preserve"/>
      </w:r>
    </w:p>
    <w:p>
      <w:pPr>
        <w:spacing w:after="200"/>
      </w:pPr>
      <w:r>
        <w:rPr>
          <w:rFonts w:ascii="Arial" w:cs="Arial" w:eastAsia="Arial" w:hAnsi="Arial"/>
          <w:color w:val="000000"/>
          <w:sz w:val="22"/>
          <w:szCs w:val="22"/>
        </w:rPr>
        <w:t xml:space="preserve">SageReasoning occupies a unique position. It is not competing with content filters or pattern-matching safety gates. Its product is structured reasoning evaluation grounded in primary Stoic texts, with source fidelity (R7), auditable evaluation trails, and a compliance infrastructure positioning. No competitor offers this. The closest analogy is the emerging category of outcome-based AI pricing, where Intercom charges $0.99 per resolved ticket. SageReasoning charges $0.033–$0.066 per reasoning evaluation, which is conceptually similar: payment for a specific, structured assessment rather than raw compute.</w:t>
      </w:r>
    </w:p>
    <w:p>
      <w:pPr>
        <w:spacing w:after="200"/>
      </w:pPr>
      <w:r>
        <w:rPr>
          <w:rFonts w:ascii="Arial" w:cs="Arial" w:eastAsia="Arial" w:hAnsi="Arial"/>
          <w:color w:val="000000"/>
          <w:sz w:val="22"/>
          <w:szCs w:val="22"/>
        </w:rPr>
        <w:t xml:space="preserve"/>
      </w:r>
    </w:p>
    <w:p>
      <w:pPr>
        <w:pStyle w:val="Heading3"/>
        <w:spacing w:after="200" w:before="240"/>
      </w:pPr>
      <w:r>
        <w:rPr>
          <w:rFonts w:ascii="Arial" w:cs="Arial" w:eastAsia="Arial" w:hAnsi="Arial"/>
          <w:b/>
          <w:bCs/>
        </w:rPr>
        <w:t xml:space="preserve">Per-Call Cost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880"/>
        <w:gridCol w:w="188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1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Cost</w:t>
            </w:r>
          </w:p>
        </w:tc>
        <w:tc>
          <w:tcPr>
            <w:tcW w:type="dxa" w:w="18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SageReasoning Equivalent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AWS Bedrock Content Filter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Pattern-match content safety</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$0.15/1K text units</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8000"/>
                <w:sz w:val="20"/>
                <w:szCs w:val="20"/>
              </w:rPr>
              <w:t xml:space="preserve">sage-guard: $0.001/call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AWS Bedrock Denied Topics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Block specific topics</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$0.15/1K text units</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8000"/>
                <w:sz w:val="20"/>
                <w:szCs w:val="20"/>
              </w:rPr>
              <w:t xml:space="preserve">sage-moderate: $0.025/call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Galileo Evaluation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LLM output quality trace</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$0.002/trace (Pro tier)</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sage-score: $0.033/call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OpenAI Moderation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Content safety check</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Free</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sage-guard: $0.001/call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Automation platforms (avg)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Complex workflow action</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$0.05–$0.10/action</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8000"/>
                <w:sz w:val="20"/>
                <w:szCs w:val="20"/>
              </w:rPr>
              <w:t xml:space="preserve">sage-reason: $0.041/call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Intercom Fin (outcome)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Resolved support ticket</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$0.99/resolution</w:t>
            </w:r>
          </w:p>
        </w:tc>
        <w:tc>
          <w:tcPr>
            <w:tcW w:type="dxa" w:w="18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Different model (per-eval)</w:t>
            </w:r>
          </w:p>
        </w:tc>
      </w:tr>
    </w:tbl>
    <w:p>
      <w:pPr>
        <w:spacing w:after="200"/>
      </w:pPr>
      <w:r>
        <w:rPr>
          <w:rFonts w:ascii="Arial" w:cs="Arial" w:eastAsia="Arial" w:hAnsi="Arial"/>
          <w:color w:val="000000"/>
          <w:sz w:val="22"/>
          <w:szCs w:val="22"/>
        </w:rPr>
        <w:t xml:space="preserve"/>
      </w:r>
    </w:p>
    <w:p>
      <w:pPr>
        <w:spacing w:after="200"/>
      </w:pPr>
      <w:r>
        <w:rPr>
          <w:rFonts w:ascii="Arial" w:cs="Arial" w:eastAsia="Arial" w:hAnsi="Arial"/>
          <w:color w:val="000000"/>
          <w:sz w:val="22"/>
          <w:szCs w:val="22"/>
        </w:rPr>
        <w:t xml:space="preserve">The comparison reveals that SageReasoning’s sage-guard is 150× cheaper per interaction than AWS Bedrock’s content filter. However, this comparison is somewhat misleading because AWS processes text units (up to 1,000 characters each), while sage-guard processes a structured decision input. The more relevant comparison is cost-per-decision-evaluated, where SageReasoning’s standard evaluation at $0.033 sits comfortably in the $0.01–$0.10 range that developers budget for complex AI middleware actions.</w:t>
      </w:r>
    </w:p>
    <w:r>
      <w:br w:type="page"/>
    </w:r>
    <w:p>
      <w:pPr>
        <w:pStyle w:val="Heading2"/>
        <w:spacing w:after="200" w:before="240"/>
      </w:pPr>
      <w:r>
        <w:rPr>
          <w:rFonts w:ascii="Arial" w:cs="Arial" w:eastAsia="Arial" w:hAnsi="Arial"/>
          <w:b/>
          <w:bCs/>
        </w:rPr>
        <w:t xml:space="preserve">What Developers Are Willing to Pay</w:t>
      </w:r>
    </w:p>
    <w:p>
      <w:pPr>
        <w:pStyle w:val="Heading3"/>
        <w:spacing w:after="200" w:before="240"/>
      </w:pPr>
      <w:r>
        <w:rPr>
          <w:rFonts w:ascii="Arial" w:cs="Arial" w:eastAsia="Arial" w:hAnsi="Arial"/>
          <w:b/>
          <w:bCs/>
        </w:rPr>
        <w:t xml:space="preserve">The Domain Expertise Premium</w:t>
      </w:r>
    </w:p>
    <w:p>
      <w:pPr>
        <w:spacing w:after="200"/>
      </w:pPr>
      <w:r>
        <w:rPr>
          <w:rFonts w:ascii="Arial" w:cs="Arial" w:eastAsia="Arial" w:hAnsi="Arial"/>
          <w:color w:val="000000"/>
          <w:sz w:val="22"/>
          <w:szCs w:val="22"/>
        </w:rPr>
        <w:t xml:space="preserve">A 2025 ICONIQ Capital survey found that 68% of AI vendors charge separately for AI enhancements, typically in premium tiers. The critical finding for SageReasoning is what developers value: they pay a premium for domain-specific expertise and complete task execution, but show significantly less enthusiasm for commoditised agentic steps that handle isolated workflow fragments.</w:t>
      </w:r>
    </w:p>
    <w:p>
      <w:pPr>
        <w:spacing w:after="200"/>
      </w:pPr>
      <w:r>
        <w:rPr>
          <w:rFonts w:ascii="Arial" w:cs="Arial" w:eastAsia="Arial" w:hAnsi="Arial"/>
          <w:color w:val="000000"/>
          <w:sz w:val="22"/>
          <w:szCs w:val="22"/>
        </w:rPr>
        <w:t xml:space="preserve"/>
      </w:r>
    </w:p>
    <w:p>
      <w:pPr>
        <w:spacing w:after="200"/>
      </w:pPr>
      <w:r>
        <w:rPr>
          <w:rFonts w:ascii="Arial" w:cs="Arial" w:eastAsia="Arial" w:hAnsi="Arial"/>
          <w:color w:val="000000"/>
          <w:sz w:val="22"/>
          <w:szCs w:val="22"/>
        </w:rPr>
        <w:t xml:space="preserve">SageReasoning sells domain expertise. The Stoic Brain is not a generic guardrail that any developer could replicate with prompt engineering. It encodes primary sources (Diogenes Laërtius 7.110–128, Seneca’s Epistulae 75, Cicero’s De Officiis), implements a 4-stage evaluation sequence, maps 25+ passion sub-species, and produces structured reasoning receipts. This is the category of AI product that commands a premium.</w:t>
      </w:r>
    </w:p>
    <w:p>
      <w:pPr>
        <w:spacing w:after="200"/>
      </w:pPr>
      <w:r>
        <w:rPr>
          <w:rFonts w:ascii="Arial" w:cs="Arial" w:eastAsia="Arial" w:hAnsi="Arial"/>
          <w:color w:val="000000"/>
          <w:sz w:val="22"/>
          <w:szCs w:val="22"/>
        </w:rPr>
        <w:t xml:space="preserve"/>
      </w:r>
    </w:p>
    <w:p>
      <w:pPr>
        <w:pStyle w:val="Heading3"/>
        <w:spacing w:after="200" w:before="240"/>
      </w:pPr>
      <w:r>
        <w:rPr>
          <w:rFonts w:ascii="Arial" w:cs="Arial" w:eastAsia="Arial" w:hAnsi="Arial"/>
          <w:b/>
          <w:bCs/>
        </w:rPr>
        <w:t xml:space="preserve">The Pricing Model Spectrum</w:t>
      </w:r>
    </w:p>
    <w:p>
      <w:pPr>
        <w:spacing w:after="200"/>
      </w:pPr>
      <w:r>
        <w:rPr>
          <w:rFonts w:ascii="Arial" w:cs="Arial" w:eastAsia="Arial" w:hAnsi="Arial"/>
          <w:color w:val="000000"/>
          <w:sz w:val="22"/>
          <w:szCs w:val="22"/>
        </w:rPr>
        <w:t xml:space="preserve">The 2026 AI pricing landscape has converged on three dominant models. Usage-based pricing (per call, per token, per action) remains the most common for API products. Outcome-based pricing (per resolution, per successful task) is growing fastest at under 10% adoption but 3× higher willingness-to-pay. Hybrid models (base subscription plus usage) are recommended when usage patterns are uncertain.</w:t>
      </w:r>
    </w:p>
    <w:p>
      <w:pPr>
        <w:spacing w:after="200"/>
      </w:pPr>
      <w:r>
        <w:rPr>
          <w:rFonts w:ascii="Arial" w:cs="Arial" w:eastAsia="Arial" w:hAnsi="Arial"/>
          <w:color w:val="000000"/>
          <w:sz w:val="22"/>
          <w:szCs w:val="22"/>
        </w:rPr>
        <w:t xml:space="preserve"/>
      </w:r>
    </w:p>
    <w:p>
      <w:pPr>
        <w:spacing w:after="200"/>
      </w:pPr>
      <w:r>
        <w:rPr>
          <w:rFonts w:ascii="Arial" w:cs="Arial" w:eastAsia="Arial" w:hAnsi="Arial"/>
          <w:color w:val="000000"/>
          <w:sz w:val="22"/>
          <w:szCs w:val="22"/>
        </w:rPr>
        <w:t xml:space="preserve">SageReasoning’s current model is hybrid: a $7/month subscription (Prokoptos) for humans and pure usage-based pricing for agents (per call at 200% markup). This aligns with market best practice. The Chargebee AI pricing playbook specifically recommends that credit-based models operate as abstraction layers when usage spans multiple actions with different costs, which describes SageReasoning’s 29-skill catalog. However, credits add complexity that a pre-revenue product should avoid. The current per-call transparency is an advantage at this stage.</w:t>
      </w:r>
    </w:p>
    <w:p>
      <w:pPr>
        <w:spacing w:after="200"/>
      </w:pPr>
      <w:r>
        <w:rPr>
          <w:rFonts w:ascii="Arial" w:cs="Arial" w:eastAsia="Arial" w:hAnsi="Arial"/>
          <w:color w:val="000000"/>
          <w:sz w:val="22"/>
          <w:szCs w:val="22"/>
        </w:rPr>
        <w:t xml:space="preserve"/>
      </w:r>
    </w:p>
    <w:p>
      <w:pPr>
        <w:pStyle w:val="Heading3"/>
        <w:spacing w:after="200" w:before="240"/>
      </w:pPr>
      <w:r>
        <w:rPr>
          <w:rFonts w:ascii="Arial" w:cs="Arial" w:eastAsia="Arial" w:hAnsi="Arial"/>
          <w:b/>
          <w:bCs/>
        </w:rPr>
        <w:t xml:space="preserve">Price Sensitivity by Agent Type</w:t>
      </w:r>
    </w:p>
    <w:p>
      <w:pPr>
        <w:spacing w:after="200"/>
      </w:pPr>
      <w:r>
        <w:rPr>
          <w:rFonts w:ascii="Arial" w:cs="Arial" w:eastAsia="Arial" w:hAnsi="Arial"/>
          <w:color w:val="000000"/>
          <w:sz w:val="22"/>
          <w:szCs w:val="22"/>
        </w:rPr>
        <w:t xml:space="preserve">Developer willingness to pay varies dramatically by use case. Guard/safety agents are the most price-sensitive because free alternatives exist (OpenAI Moderation, NeMo Guardrails OSS). Compliance and governance agents are the least price-sensitive because regulated industries pay for auditable, source-cited evaluation infrastructure. Decision support agents sit in the middle, with developers willing to pay $0.03–$0.10 per complex action if the output demonstrably improves decision quality.</w:t>
      </w:r>
    </w:p>
    <w:p>
      <w:pPr>
        <w:spacing w:after="200"/>
      </w:pPr>
      <w:r>
        <w:rPr>
          <w:rFonts w:ascii="Arial" w:cs="Arial" w:eastAsia="Arial" w:hAnsi="Arial"/>
          <w:color w:val="000000"/>
          <w:sz w:val="22"/>
          <w:szCs w:val="22"/>
        </w:rPr>
        <w:t xml:space="preserve"/>
      </w:r>
    </w:p>
    <w:p>
      <w:pPr>
        <w:spacing w:after="200"/>
      </w:pPr>
      <w:r>
        <w:rPr>
          <w:rFonts w:ascii="Arial" w:cs="Arial" w:eastAsia="Arial" w:hAnsi="Arial"/>
          <w:color w:val="000000"/>
          <w:sz w:val="22"/>
          <w:szCs w:val="22"/>
        </w:rPr>
        <w:t xml:space="preserve">This maps directly to SageReasoning’s pricing tiers. sage-guard at $0.001 is priced for the most price-sensitive segment (gateway drug). sage-compliance at $0.041 and sage-govern at $0.055 are priced for the least price-sensitive segment (enterprise compliance). The current pricing architecture already reflects market willingness-to-pay patterns, likely by accident of the R5 mechanism-count-based pricing.</w:t>
      </w:r>
    </w:p>
    <w:r>
      <w:br w:type="page"/>
    </w:r>
    <w:p>
      <w:pPr>
        <w:pStyle w:val="Heading2"/>
        <w:spacing w:after="200" w:before="240"/>
      </w:pPr>
      <w:r>
        <w:rPr>
          <w:rFonts w:ascii="Arial" w:cs="Arial" w:eastAsia="Arial" w:hAnsi="Arial"/>
          <w:b/>
          <w:bCs/>
        </w:rPr>
        <w:t xml:space="preserve">Free Tier Duration and Rate Limit Strategy</w:t>
      </w:r>
    </w:p>
    <w:p>
      <w:pPr>
        <w:pStyle w:val="Heading3"/>
        <w:spacing w:after="200" w:before="240"/>
      </w:pPr>
      <w:r>
        <w:rPr>
          <w:rFonts w:ascii="Arial" w:cs="Arial" w:eastAsia="Arial" w:hAnsi="Arial"/>
          <w:b/>
          <w:bCs/>
        </w:rPr>
        <w:t xml:space="preserve">What the Data Says About Free Tiers</w:t>
      </w:r>
    </w:p>
    <w:p>
      <w:pPr>
        <w:spacing w:after="200"/>
      </w:pPr>
      <w:r>
        <w:rPr>
          <w:rFonts w:ascii="Arial" w:cs="Arial" w:eastAsia="Arial" w:hAnsi="Arial"/>
          <w:color w:val="000000"/>
          <w:sz w:val="22"/>
          <w:szCs w:val="22"/>
        </w:rPr>
        <w:t xml:space="preserve">Freemium conversion rates in developer SaaS average 3–5%, with top performers reaching 8–15%. The single strongest predictor of conversion is time-to-first-value within 7–14 days. SageReasoning’s free foundational assessment delivers value in minutes, which is a structural advantage.</w:t>
      </w:r>
    </w:p>
    <w:p>
      <w:pPr>
        <w:spacing w:after="200"/>
      </w:pPr>
      <w:r>
        <w:rPr>
          <w:rFonts w:ascii="Arial" w:cs="Arial" w:eastAsia="Arial" w:hAnsi="Arial"/>
          <w:color w:val="000000"/>
          <w:sz w:val="22"/>
          <w:szCs w:val="22"/>
        </w:rPr>
        <w:t xml:space="preserve"/>
      </w:r>
    </w:p>
    <w:p>
      <w:pPr>
        <w:spacing w:after="200"/>
      </w:pPr>
      <w:r>
        <w:rPr>
          <w:rFonts w:ascii="Arial" w:cs="Arial" w:eastAsia="Arial" w:hAnsi="Arial"/>
          <w:color w:val="000000"/>
          <w:sz w:val="22"/>
          <w:szCs w:val="22"/>
        </w:rPr>
        <w:t xml:space="preserve">However, two patterns in the research have direct implications for SageReasoning’s current model. Google reduced Gemini free tier limits by 50–80% in December 2025 after finding that overly generous free tiers were exploited and produced poor conversion. Separately, both OpenAI and Anthropic require credit card registration and provide expiring credits ($5, expiring in 30–90 days), which produces 40–60% higher conversion than no-card permanent free tiers. The industry rule of thumb is stark: if your free-to-paid conversion is below 2–3%, your free tier is too generous.</w:t>
      </w:r>
    </w:p>
    <w:p>
      <w:pPr>
        <w:spacing w:after="200"/>
      </w:pPr>
      <w:r>
        <w:rPr>
          <w:rFonts w:ascii="Arial" w:cs="Arial" w:eastAsia="Arial" w:hAnsi="Arial"/>
          <w:color w:val="000000"/>
          <w:sz w:val="22"/>
          <w:szCs w:val="22"/>
        </w:rPr>
        <w:t xml:space="preserve"/>
      </w:r>
    </w:p>
    <w:p>
      <w:pPr>
        <w:pStyle w:val="Heading3"/>
        <w:spacing w:after="200" w:before="240"/>
      </w:pPr>
      <w:r>
        <w:rPr>
          <w:rFonts w:ascii="Arial" w:cs="Arial" w:eastAsia="Arial" w:hAnsi="Arial"/>
          <w:b/>
          <w:bCs/>
        </w:rPr>
        <w:t xml:space="preserve">SageReasoning’s Current Free Tier: Assessment</w:t>
      </w:r>
    </w:p>
    <w:p>
      <w:pPr>
        <w:spacing w:after="200"/>
      </w:pPr>
      <w:r>
        <w:rPr>
          <w:rFonts w:ascii="Arial" w:cs="Arial" w:eastAsia="Arial" w:hAnsi="Arial"/>
          <w:color w:val="000000"/>
          <w:sz w:val="22"/>
          <w:szCs w:val="22"/>
        </w:rPr>
        <w:t xml:space="preserve">The current model gives human users 5 free actions per day indefinitely and agent developers 1 free API call per day indefinitely. This has two problems.</w:t>
      </w:r>
    </w:p>
    <w:p>
      <w:pPr>
        <w:spacing w:after="200"/>
      </w:pPr>
      <w:r>
        <w:rPr>
          <w:rFonts w:ascii="Arial" w:cs="Arial" w:eastAsia="Arial" w:hAnsi="Arial"/>
          <w:color w:val="000000"/>
          <w:sz w:val="22"/>
          <w:szCs w:val="22"/>
        </w:rPr>
        <w:t xml:space="preserve"/>
      </w:r>
    </w:p>
    <w:p>
      <w:pPr>
        <w:spacing w:after="200"/>
      </w:pPr>
      <w:r>
        <w:rPr>
          <w:rFonts w:ascii="Arial" w:cs="Arial" w:eastAsia="Arial" w:hAnsi="Arial"/>
          <w:color w:val="000000"/>
          <w:sz w:val="22"/>
          <w:szCs w:val="22"/>
        </w:rPr>
        <w:t xml:space="preserve">For agent developers, 1 call/day is too few to evaluate the product properly. A developer building a Decision Support agent needs to test at least 10–20 different scenarios to understand the evaluation output structure, test edge cases, and validate integration. At 1 call/day, this takes 2–3 weeks of minimal engagement, by which point the developer has likely moved on. Meanwhile, the permanent nature means a developer who never converts still gets 1 free call forever, with no conversion pressure.</w:t>
      </w:r>
    </w:p>
    <w:p>
      <w:pPr>
        <w:spacing w:after="200"/>
      </w:pPr>
      <w:r>
        <w:rPr>
          <w:rFonts w:ascii="Arial" w:cs="Arial" w:eastAsia="Arial" w:hAnsi="Arial"/>
          <w:color w:val="000000"/>
          <w:sz w:val="22"/>
          <w:szCs w:val="22"/>
        </w:rPr>
        <w:t xml:space="preserve"/>
      </w:r>
    </w:p>
    <w:p>
      <w:pPr>
        <w:spacing w:after="200"/>
      </w:pPr>
      <w:r>
        <w:rPr>
          <w:rFonts w:ascii="Arial" w:cs="Arial" w:eastAsia="Arial" w:hAnsi="Arial"/>
          <w:color w:val="000000"/>
          <w:sz w:val="22"/>
          <w:szCs w:val="22"/>
        </w:rPr>
        <w:t xml:space="preserve">For human users, 5 actions/day is reasonably generous for casual use but never exposes Prokoptos features (unlimited scoring, document badges, policy review, journal with sage perspective). Users don’t know what they’re missing because they never experience it.</w:t>
      </w:r>
    </w:p>
    <w:p>
      <w:pPr>
        <w:spacing w:after="200"/>
      </w:pPr>
      <w:r>
        <w:rPr>
          <w:rFonts w:ascii="Arial" w:cs="Arial" w:eastAsia="Arial" w:hAnsi="Arial"/>
          <w:color w:val="000000"/>
          <w:sz w:val="22"/>
          <w:szCs w:val="22"/>
        </w:rPr>
        <w:t xml:space="preserve"/>
      </w:r>
    </w:p>
    <w:p>
      <w:pPr>
        <w:pStyle w:val="Heading3"/>
        <w:spacing w:after="200" w:before="240"/>
      </w:pPr>
      <w:r>
        <w:rPr>
          <w:rFonts w:ascii="Arial" w:cs="Arial" w:eastAsia="Arial" w:hAnsi="Arial"/>
          <w:b/>
          <w:bCs/>
        </w:rPr>
        <w:t xml:space="preserve">Recommended Free Tier Changes</w:t>
      </w:r>
    </w:p>
    <w:p>
      <w:pPr>
        <w:spacing w:after="200"/>
      </w:pPr>
      <w:r>
        <w:rPr>
          <w:rFonts w:ascii="Arial" w:cs="Arial" w:eastAsia="Arial" w:hAnsi="Arial"/>
          <w:color w:val="000000"/>
          <w:sz w:val="22"/>
          <w:szCs w:val="22"/>
        </w:rPr>
        <w:t xml:space="preserve">For agent developers: Replace the 1 call/day permanent tier with a 30-day full evaluation period. During the 30 days, developers get the same rate limits as paid users (500/day default). After 30 days, the tier downgrades to 1 call/day. This matches Anthropic’s model (30-day expiring credits) and is expected to produce 40–60% higher conversion based on industry benchmarks.</w:t>
      </w:r>
    </w:p>
    <w:p>
      <w:pPr>
        <w:spacing w:after="200"/>
      </w:pPr>
      <w:r>
        <w:rPr>
          <w:rFonts w:ascii="Arial" w:cs="Arial" w:eastAsia="Arial" w:hAnsi="Arial"/>
          <w:color w:val="000000"/>
          <w:sz w:val="22"/>
          <w:szCs w:val="22"/>
        </w:rPr>
        <w:t xml:space="preserve"/>
      </w:r>
    </w:p>
    <w:p>
      <w:pPr>
        <w:spacing w:after="200"/>
      </w:pPr>
      <w:r>
        <w:rPr>
          <w:rFonts w:ascii="Arial" w:cs="Arial" w:eastAsia="Arial" w:hAnsi="Arial"/>
          <w:color w:val="000000"/>
          <w:sz w:val="22"/>
          <w:szCs w:val="22"/>
        </w:rPr>
        <w:t xml:space="preserve">For human users: Keep the permanent Agora free tier (5 actions/day), but add an automatic 14-day reverse trial of Prokoptos features when a new user signs up. For 14 days, every new user gets unlimited scoring, badges, and the journal. After 14 days, it downgrades to Agora limits. Industry data shows reverse trials produce 2–3× higher conversion than permanently limited free tiers.</w:t>
      </w:r>
    </w:p>
    <w:p>
      <w:pPr>
        <w:spacing w:after="200"/>
      </w:pPr>
      <w:r>
        <w:rPr>
          <w:rFonts w:ascii="Arial" w:cs="Arial" w:eastAsia="Arial" w:hAnsi="Arial"/>
          <w:color w:val="000000"/>
          <w:sz w:val="22"/>
          <w:szCs w:val="22"/>
        </w:rPr>
        <w:t xml:space="preserve"/>
      </w:r>
    </w:p>
    <w:p>
      <w:pPr>
        <w:spacing w:after="200"/>
      </w:pPr>
      <w:r>
        <w:rPr>
          <w:rFonts w:ascii="Arial" w:cs="Arial" w:eastAsia="Arial" w:hAnsi="Arial"/>
          <w:color w:val="000000"/>
          <w:sz w:val="22"/>
          <w:szCs w:val="22"/>
        </w:rPr>
        <w:t xml:space="preserve">For enterprise: Add a dedicated 14-day trial with a 5,000-call budget. Enterprise evaluation cycles take 1–2 weeks and involve multiple stakeholders running test scenarios. A call budget prevents abuse while giving enough room for thorough evaluation.</w:t>
      </w:r>
    </w:p>
    <w:r>
      <w:br w:type="page"/>
    </w:r>
    <w:p>
      <w:pPr>
        <w:pStyle w:val="Heading2"/>
        <w:spacing w:after="200" w:before="240"/>
      </w:pPr>
      <w:r>
        <w:rPr>
          <w:rFonts w:ascii="Arial" w:cs="Arial" w:eastAsia="Arial" w:hAnsi="Arial"/>
          <w:b/>
          <w:bCs/>
        </w:rPr>
        <w:t xml:space="preserve">Rate Limits by Application Type</w:t>
      </w:r>
    </w:p>
    <w:p>
      <w:pPr>
        <w:pStyle w:val="Heading3"/>
        <w:spacing w:after="200" w:before="240"/>
      </w:pPr>
      <w:r>
        <w:rPr>
          <w:rFonts w:ascii="Arial" w:cs="Arial" w:eastAsia="Arial" w:hAnsi="Arial"/>
          <w:b/>
          <w:bCs/>
        </w:rPr>
        <w:t xml:space="preserve">Why Flat Limits Don’t Work</w:t>
      </w:r>
    </w:p>
    <w:p>
      <w:pPr>
        <w:spacing w:after="200"/>
      </w:pPr>
      <w:r>
        <w:rPr>
          <w:rFonts w:ascii="Arial" w:cs="Arial" w:eastAsia="Arial" w:hAnsi="Arial"/>
          <w:color w:val="000000"/>
          <w:sz w:val="22"/>
          <w:szCs w:val="22"/>
        </w:rPr>
        <w:t xml:space="preserve">SageReasoning’s current default rate limit is 500 calls/day for all paid API users. This is problematic for two reasons. A Reasoning Guard agent making 5,000 sage-guard calls and 500 sage-score calls per month needs roughly 200 calls/day on average but can spike to 1,000+ during high-activity periods. The 500/day limit blocks production use. Meanwhile, a Personal Coach agent averaging 65 calls/day never approaches 500/day, meaning the limit is meaningless and the developer is unaware they’re paying for headroom they don’t use.</w:t>
      </w:r>
    </w:p>
    <w:p>
      <w:pPr>
        <w:spacing w:after="200"/>
      </w:pPr>
      <w:r>
        <w:rPr>
          <w:rFonts w:ascii="Arial" w:cs="Arial" w:eastAsia="Arial" w:hAnsi="Arial"/>
          <w:color w:val="000000"/>
          <w:sz w:val="22"/>
          <w:szCs w:val="22"/>
        </w:rPr>
        <w:t xml:space="preserve"/>
      </w:r>
    </w:p>
    <w:p>
      <w:pPr>
        <w:spacing w:after="200"/>
      </w:pPr>
      <w:r>
        <w:rPr>
          <w:rFonts w:ascii="Arial" w:cs="Arial" w:eastAsia="Arial" w:hAnsi="Arial"/>
          <w:color w:val="000000"/>
          <w:sz w:val="22"/>
          <w:szCs w:val="22"/>
        </w:rPr>
        <w:t xml:space="preserve">AWS Bedrock Guardrails imposes no per-call rate limits, charging purely on usage. Gemini’s paid tiers scale from 150–300 RPM (Tier 1) to 1,000+ RPM (Tier 2 after $250 cumulative spend) to 4,000+ RPM (Enterprise). The pattern is clear: rate limits should scale with usage commitment, not be a flat default.</w:t>
      </w:r>
    </w:p>
    <w:p>
      <w:pPr>
        <w:spacing w:after="200"/>
      </w:pPr>
      <w:r>
        <w:rPr>
          <w:rFonts w:ascii="Arial" w:cs="Arial" w:eastAsia="Arial" w:hAnsi="Arial"/>
          <w:color w:val="000000"/>
          <w:sz w:val="22"/>
          <w:szCs w:val="22"/>
        </w:rPr>
        <w:t xml:space="preserve"/>
      </w:r>
    </w:p>
    <w:p>
      <w:pPr>
        <w:pStyle w:val="Heading3"/>
        <w:spacing w:after="200" w:before="240"/>
      </w:pPr>
      <w:r>
        <w:rPr>
          <w:rFonts w:ascii="Arial" w:cs="Arial" w:eastAsia="Arial" w:hAnsi="Arial"/>
          <w:b/>
          <w:bCs/>
        </w:rPr>
        <w:t xml:space="preserve">Recommended Rate Limits by Agent Archetype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1500"/>
        <w:gridCol w:w="28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Agent Type</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Current</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Recommended Daily</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Monthly Cap</w:t>
            </w:r>
          </w:p>
        </w:tc>
        <w:tc>
          <w:tcPr>
            <w:tcW w:type="dxa" w:w="2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Reasoning Guard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500/day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8000"/>
                <w:sz w:val="20"/>
                <w:szCs w:val="20"/>
              </w:rPr>
              <w:t xml:space="preserve">10,000/day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300,000/mo</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sage-guard at $0.001 is designed for every-decision gating. 500/day blocks production.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Decision Support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500/day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8000"/>
                <w:sz w:val="20"/>
                <w:szCs w:val="20"/>
              </w:rPr>
              <w:t xml:space="preserve">1,000/day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30,000/mo</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~70 calls/day avg. 1,000/day gives 14× headroom for spikes.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Compliance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500/day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8000"/>
                <w:sz w:val="20"/>
                <w:szCs w:val="20"/>
              </w:rPr>
              <w:t xml:space="preserve">5,000/day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150,000/mo</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Bursty: audit cycles spike 10×. Enterprise expects no artificial cap.</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Personal Coach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500/day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500/day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15,000/mo</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Steady, lower volume. Current limit is appropriate.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Full-Stack</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500/day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8000"/>
                <w:sz w:val="20"/>
                <w:szCs w:val="20"/>
              </w:rPr>
              <w:t xml:space="preserve">2,000/day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60,000/mo</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Broad skill mix. Power users = highest value, don’t frustrate.</w:t>
            </w:r>
          </w:p>
        </w:tc>
      </w:tr>
    </w:tbl>
    <w:p>
      <w:pPr>
        <w:spacing w:after="200"/>
      </w:pPr>
      <w:r>
        <w:rPr>
          <w:rFonts w:ascii="Arial" w:cs="Arial" w:eastAsia="Arial" w:hAnsi="Arial"/>
          <w:color w:val="000000"/>
          <w:sz w:val="22"/>
          <w:szCs w:val="22"/>
        </w:rPr>
        <w:t xml:space="preserve"/>
      </w:r>
    </w:p>
    <w:p>
      <w:pPr>
        <w:spacing w:after="200"/>
      </w:pPr>
      <w:r>
        <w:rPr>
          <w:rFonts w:ascii="Arial" w:cs="Arial" w:eastAsia="Arial" w:hAnsi="Arial"/>
          <w:color w:val="000000"/>
          <w:sz w:val="22"/>
          <w:szCs w:val="22"/>
        </w:rPr>
        <w:t xml:space="preserve">Implementation does not require agent-type classification. Instead, use the simpler approach of tiered rate limits that developers self-select: a Standard tier (500/day, suitable for Coach and light Decision agents), a Growth tier (2,000/day, suitable for Decision and Full-Stack agents), and an Enterprise tier (10,000/day, suitable for Guard and Compliance agents). Pricing stays usage-based; the tier controls the rate limit ceiling.</w:t>
      </w:r>
    </w:p>
    <w:p>
      <w:pPr>
        <w:spacing w:after="200"/>
      </w:pPr>
      <w:r>
        <w:rPr>
          <w:rFonts w:ascii="Arial" w:cs="Arial" w:eastAsia="Arial" w:hAnsi="Arial"/>
          <w:color w:val="000000"/>
          <w:sz w:val="22"/>
          <w:szCs w:val="22"/>
        </w:rPr>
        <w:t xml:space="preserve"/>
      </w:r>
    </w:p>
    <w:p>
      <w:pPr>
        <w:pStyle w:val="Heading3"/>
        <w:spacing w:after="200" w:before="240"/>
      </w:pPr>
      <w:r>
        <w:rPr>
          <w:rFonts w:ascii="Arial" w:cs="Arial" w:eastAsia="Arial" w:hAnsi="Arial"/>
          <w:b/>
          <w:bCs/>
        </w:rPr>
        <w:t xml:space="preserve">Skill-Specific Gating Recommendations</w:t>
      </w:r>
    </w:p>
    <w:p>
      <w:pPr>
        <w:spacing w:after="200"/>
      </w:pPr>
      <w:r>
        <w:rPr>
          <w:rFonts w:ascii="Arial" w:cs="Arial" w:eastAsia="Arial" w:hAnsi="Arial"/>
          <w:color w:val="000000"/>
          <w:sz w:val="22"/>
          <w:szCs w:val="22"/>
        </w:rPr>
        <w:t xml:space="preserve">In addition to per-account rate limits, certain skills warrant their own gating rules. sage-guard should have a dedicated higher limit (10,000/day) regardless of account tier because its $0.001 price point means even maximum volume generates only $10/day in revenue. sage-iterate should be increased from 3 iterations to 5 iterations per deliberation chain on the paid tier, because each additional iteration generates $0.033 in revenue and deliberation chains are the product’s primary revenue multiplier. sage-reason should have depth-tiered limits: 500/day for quick, 200/day for standard, 100/day for deep, directing high-volume usage toward cheaper operations while preserving deep analysis for considered use.</w:t>
      </w:r>
    </w:p>
    <w:r>
      <w:br w:type="page"/>
    </w:r>
    <w:p>
      <w:pPr>
        <w:pStyle w:val="Heading2"/>
        <w:spacing w:after="200" w:before="240"/>
      </w:pPr>
      <w:r>
        <w:rPr>
          <w:rFonts w:ascii="Arial" w:cs="Arial" w:eastAsia="Arial" w:hAnsi="Arial"/>
          <w:b/>
          <w:bCs/>
        </w:rPr>
        <w:t xml:space="preserve">Pricing Position Assessment and Recommendations</w:t>
      </w:r>
    </w:p>
    <w:p>
      <w:pPr>
        <w:pStyle w:val="Heading3"/>
        <w:spacing w:after="200" w:before="240"/>
      </w:pPr>
      <w:r>
        <w:rPr>
          <w:rFonts w:ascii="Arial" w:cs="Arial" w:eastAsia="Arial" w:hAnsi="Arial"/>
          <w:b/>
          <w:bCs/>
        </w:rPr>
        <w:t xml:space="preserve">Where SageReasoning Sits in the Market</w:t>
      </w:r>
    </w:p>
    <w:p>
      <w:pPr>
        <w:spacing w:after="200"/>
      </w:pPr>
      <w:r>
        <w:rPr>
          <w:rFonts w:ascii="Arial" w:cs="Arial" w:eastAsia="Arial" w:hAnsi="Arial"/>
          <w:color w:val="000000"/>
          <w:sz w:val="22"/>
          <w:szCs w:val="22"/>
        </w:rPr>
        <w:t xml:space="preserve">SageReasoning’s per-call pricing ($0.001–$0.066) is competitive within the AI middleware market. The lowest-cost skill (sage-guard at $0.001) is priced well below market norms, intentionally positioned as a gateway to higher-value skills. The most expensive skill (sage-scenario at $0.066) sits in the middle of the $0.05–$0.15 range for complex AI actions. Standard evaluations at $0.033 are in the lower third of the complex action range, which is appropriate for a new entrant building adoption.</w:t>
      </w:r>
    </w:p>
    <w:p>
      <w:pPr>
        <w:spacing w:after="200"/>
      </w:pPr>
      <w:r>
        <w:rPr>
          <w:rFonts w:ascii="Arial" w:cs="Arial" w:eastAsia="Arial" w:hAnsi="Arial"/>
          <w:color w:val="000000"/>
          <w:sz w:val="22"/>
          <w:szCs w:val="22"/>
        </w:rPr>
        <w:t xml:space="preserve"/>
      </w:r>
    </w:p>
    <w:p>
      <w:pPr>
        <w:spacing w:after="200"/>
      </w:pPr>
      <w:r>
        <w:rPr>
          <w:rFonts w:ascii="Arial" w:cs="Arial" w:eastAsia="Arial" w:hAnsi="Arial"/>
          <w:color w:val="000000"/>
          <w:sz w:val="22"/>
          <w:szCs w:val="22"/>
        </w:rPr>
        <w:t xml:space="preserve">The $7/month Prokoptos subscription is at the low end of niche SaaS pricing. Comparable niche community tools typically charge $9–$29/month. This is intentional (temperance in pricing), but should be monitored. If conversion and retention data are strong after 6 months, a modest increase to $9/month or $79/year is supportable.</w:t>
      </w:r>
    </w:p>
    <w:p>
      <w:pPr>
        <w:spacing w:after="200"/>
      </w:pPr>
      <w:r>
        <w:rPr>
          <w:rFonts w:ascii="Arial" w:cs="Arial" w:eastAsia="Arial" w:hAnsi="Arial"/>
          <w:color w:val="000000"/>
          <w:sz w:val="22"/>
          <w:szCs w:val="22"/>
        </w:rPr>
        <w:t xml:space="preserve"/>
      </w:r>
    </w:p>
    <w:p>
      <w:pPr>
        <w:spacing w:after="200"/>
      </w:pPr>
      <w:r>
        <w:rPr>
          <w:rFonts w:ascii="Arial" w:cs="Arial" w:eastAsia="Arial" w:hAnsi="Arial"/>
          <w:color w:val="000000"/>
          <w:sz w:val="22"/>
          <w:szCs w:val="22"/>
        </w:rPr>
        <w:t xml:space="preserve">The 200% markup rule (R5) produces a structural 50% gross margin. This is below typical SaaS gross margins (70–85%) but is defensible at current scale because SageReasoning has zero headcount costs, minimal fixed overheads ($279/month), and the margin percentage is guaranteed by construction regardless of underlying model cost changes.</w:t>
      </w:r>
    </w:p>
    <w:p>
      <w:pPr>
        <w:spacing w:after="200"/>
      </w:pPr>
      <w:r>
        <w:rPr>
          <w:rFonts w:ascii="Arial" w:cs="Arial" w:eastAsia="Arial" w:hAnsi="Arial"/>
          <w:color w:val="000000"/>
          <w:sz w:val="22"/>
          <w:szCs w:val="22"/>
        </w:rPr>
        <w:t xml:space="preserve"/>
      </w:r>
    </w:p>
    <w:p>
      <w:pPr>
        <w:pStyle w:val="Heading3"/>
        <w:spacing w:after="200" w:before="240"/>
      </w:pPr>
      <w:r>
        <w:rPr>
          <w:rFonts w:ascii="Arial" w:cs="Arial" w:eastAsia="Arial" w:hAnsi="Arial"/>
          <w:b/>
          <w:bCs/>
        </w:rPr>
        <w:t xml:space="preserve">Recommended Price Changes</w:t>
      </w:r>
    </w:p>
    <w:p>
      <w:pPr>
        <w:spacing w:after="200"/>
      </w:pPr>
      <w:r>
        <w:rPr>
          <w:rFonts w:ascii="Arial" w:cs="Arial" w:eastAsia="Arial" w:hAnsi="Arial"/>
          <w:color w:val="000000"/>
          <w:sz w:val="22"/>
          <w:szCs w:val="22"/>
        </w:rPr>
        <w:t xml:space="preserve">No immediate price changes are recommended. The current pricing is market-competitive and the product has no usage data to justify increases. After 6 months of live operation, three changes should be evaluated with data.</w:t>
      </w:r>
    </w:p>
    <w:p>
      <w:pPr>
        <w:spacing w:after="200"/>
      </w:pPr>
      <w:r>
        <w:rPr>
          <w:rFonts w:ascii="Arial" w:cs="Arial" w:eastAsia="Arial" w:hAnsi="Arial"/>
          <w:color w:val="000000"/>
          <w:sz w:val="22"/>
          <w:szCs w:val="22"/>
        </w:rPr>
        <w:t xml:space="preserve"/>
      </w:r>
    </w:p>
    <w:p>
      <w:pPr>
        <w:spacing w:after="200"/>
      </w:pPr>
      <w:r>
        <w:rPr>
          <w:rFonts w:ascii="Arial" w:cs="Arial" w:eastAsia="Arial" w:hAnsi="Arial"/>
          <w:color w:val="000000"/>
          <w:sz w:val="22"/>
          <w:szCs w:val="22"/>
        </w:rPr>
        <w:t xml:space="preserve">First, marketplace skill prices ($0.041 for 5-mechanism skills) could be tested at $0.050 if volume data shows that developers are not price-sensitive on these domain-specific skills. A $0.009 increase would add $30–50/month in margin per active agent of the Decision Support or Compliance archetypes.</w:t>
      </w:r>
    </w:p>
    <w:p>
      <w:pPr>
        <w:spacing w:after="200"/>
      </w:pPr>
      <w:r>
        <w:rPr>
          <w:rFonts w:ascii="Arial" w:cs="Arial" w:eastAsia="Arial" w:hAnsi="Arial"/>
          <w:color w:val="000000"/>
          <w:sz w:val="22"/>
          <w:szCs w:val="22"/>
        </w:rPr>
        <w:t xml:space="preserve"/>
      </w:r>
    </w:p>
    <w:p>
      <w:pPr>
        <w:spacing w:after="200"/>
      </w:pPr>
      <w:r>
        <w:rPr>
          <w:rFonts w:ascii="Arial" w:cs="Arial" w:eastAsia="Arial" w:hAnsi="Arial"/>
          <w:color w:val="000000"/>
          <w:sz w:val="22"/>
          <w:szCs w:val="22"/>
        </w:rPr>
        <w:t xml:space="preserve">Second, Prokoptos at $9/month (up from $7) adds $2/subscriber/month. At 70 subscribers, that is $1,680/year in additional revenue with likely minimal impact on conversion given the niche audience.</w:t>
      </w:r>
    </w:p>
    <w:p>
      <w:pPr>
        <w:spacing w:after="200"/>
      </w:pPr>
      <w:r>
        <w:rPr>
          <w:rFonts w:ascii="Arial" w:cs="Arial" w:eastAsia="Arial" w:hAnsi="Arial"/>
          <w:color w:val="000000"/>
          <w:sz w:val="22"/>
          <w:szCs w:val="22"/>
        </w:rPr>
        <w:t xml:space="preserve"/>
      </w:r>
    </w:p>
    <w:p>
      <w:pPr>
        <w:spacing w:after="200"/>
      </w:pPr>
      <w:r>
        <w:rPr>
          <w:rFonts w:ascii="Arial" w:cs="Arial" w:eastAsia="Arial" w:hAnsi="Arial"/>
          <w:color w:val="000000"/>
          <w:sz w:val="22"/>
          <w:szCs w:val="22"/>
        </w:rPr>
        <w:t xml:space="preserve">Third, if the product reaches scale and skill mix complexity becomes a developer adoption barrier, a credit-based billing model could simplify the developer experience. This is a Year 2 consideration, not a launch priority.</w:t>
      </w:r>
    </w:p>
    <w:r>
      <w:br w:type="page"/>
    </w:r>
    <w:p>
      <w:pPr>
        <w:pStyle w:val="Heading2"/>
        <w:spacing w:after="200" w:before="240"/>
      </w:pPr>
      <w:r>
        <w:rPr>
          <w:rFonts w:ascii="Arial" w:cs="Arial" w:eastAsia="Arial" w:hAnsi="Arial"/>
          <w:b/>
          <w:bCs/>
        </w:rPr>
        <w:t xml:space="preserve">Impact on Break-Even Model</w:t>
      </w:r>
    </w:p>
    <w:p>
      <w:pPr>
        <w:spacing w:after="200"/>
      </w:pPr>
      <w:r>
        <w:rPr>
          <w:rFonts w:ascii="Arial" w:cs="Arial" w:eastAsia="Arial" w:hAnsi="Arial"/>
          <w:color w:val="000000"/>
          <w:sz w:val="22"/>
          <w:szCs w:val="22"/>
        </w:rPr>
        <w:t xml:space="preserve">The recommended changes affect the break-even model in two ways. Increased conversion rates (from the 30-day evaluation window and reverse trial) would shift more developers and humans into paid tiers earlier. If the current 8% agent conversion assumption increases to 12–15% (top-quartile benchmark), the Month 12 base case improves from 25 paid agents to 35–40, with proportional revenue increases. Increased rate limits for Guard and Compliance agents do not change revenue (they are already paying per call), but they remove artificial friction that could cause churn.</w:t>
      </w:r>
    </w:p>
    <w:p>
      <w:pPr>
        <w:spacing w:after="200"/>
      </w:pPr>
      <w:r>
        <w:rPr>
          <w:rFonts w:ascii="Arial" w:cs="Arial" w:eastAsia="Arial" w:hAnsi="Arial"/>
          <w:color w:val="000000"/>
          <w:sz w:val="22"/>
          <w:szCs w:val="22"/>
        </w:rPr>
        <w:t xml:space="preserve"/>
      </w:r>
    </w:p>
    <w:p>
      <w:pPr>
        <w:spacing w:after="200"/>
      </w:pPr>
      <w:r>
        <w:rPr>
          <w:rFonts w:ascii="Arial" w:cs="Arial" w:eastAsia="Arial" w:hAnsi="Arial"/>
          <w:color w:val="000000"/>
          <w:sz w:val="22"/>
          <w:szCs w:val="22"/>
        </w:rPr>
        <w:t xml:space="preserve">If both the 30-day evaluation and reverse trial are implemented before launch, the break-even month could shift from Month 5–6 to Month 4–5, and the upfront payback period from Month 12–14 to Month 10–12. These are estimates based on industry benchmarks, not certainties.</w:t>
      </w:r>
    </w:p>
    <w:p>
      <w:pPr>
        <w:spacing w:after="200"/>
      </w:pPr>
      <w:r>
        <w:rPr>
          <w:rFonts w:ascii="Arial" w:cs="Arial" w:eastAsia="Arial" w:hAnsi="Arial"/>
          <w:color w:val="000000"/>
          <w:sz w:val="22"/>
          <w:szCs w:val="22"/>
        </w:rPr>
        <w:t xml:space="preserve"/>
      </w:r>
    </w:p>
    <w:p>
      <w:pPr>
        <w:pStyle w:val="Heading2"/>
        <w:spacing w:after="200" w:before="240"/>
      </w:pPr>
      <w:r>
        <w:rPr>
          <w:rFonts w:ascii="Arial" w:cs="Arial" w:eastAsia="Arial" w:hAnsi="Arial"/>
          <w:b/>
          <w:bCs/>
        </w:rPr>
        <w:t xml:space="preserve">Summary of Prioritised 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1280"/>
        <w:gridCol w:w="1280"/>
        <w:gridCol w:w="2000"/>
      </w:tblGrid>
      <w:t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1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1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When</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Expected Impact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P1</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Increase sage-guard paid rate limit to 10,000/day</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Config</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Pre-launch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Enables Guard archetype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P2</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30-day full evaluation for agent developers</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Auth logic</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Pre-launch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+40–60% agent conversion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P3</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14-day Prokoptos reverse trial for humans</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UI + billing</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Pre-launch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2–3× human conversion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P4</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Increase sage-iterate to 5 iterations (from 3)</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Config</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Pre-launch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+66% deliberation revenue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P5</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Free tier: 3 sage-score + 3 sage-reason/day</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Config</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Pre-launch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Better dev evaluation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P6</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Tiered rate limits by sage-reason depth</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Middleware</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Month 2–3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Protect deep call costs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P7</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Enterprise trial path (14-day, 5K calls)</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Auth + track</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Month 3–4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Enterprise funnel</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P8</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Evaluate marketplace skill price increase</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Pricing</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Month 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+$30–50/agent/mo</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P9</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Evaluate Prokoptos price $7 → $9</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Pricing</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Month 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+$1,680/yr at 70 subs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P10</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Evaluate credit-based billing model</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Major</w:t>
            </w:r>
          </w:p>
        </w:tc>
        <w:tc>
          <w:tcPr>
            <w:tcW w:type="dxa" w:w="1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Year 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000000"/>
                <w:sz w:val="20"/>
                <w:szCs w:val="20"/>
              </w:rPr>
              <w:t xml:space="preserve">Simplify multi-skill usage</w:t>
            </w:r>
          </w:p>
        </w:tc>
      </w:tr>
    </w:tbl>
    <w:p>
      <w:pPr>
        <w:spacing w:after="200"/>
      </w:pPr>
      <w:r>
        <w:rPr>
          <w:rFonts w:ascii="Arial" w:cs="Arial" w:eastAsia="Arial" w:hAnsi="Arial"/>
          <w:color w:val="000000"/>
          <w:sz w:val="22"/>
          <w:szCs w:val="22"/>
        </w:rPr>
        <w:t xml:space="preserve"/>
      </w:r>
    </w:p>
    <w:p>
      <w:pPr>
        <w:spacing w:after="200"/>
      </w:pPr>
      <w:r>
        <w:rPr>
          <w:rFonts w:ascii="Arial" w:cs="Arial" w:eastAsia="Arial" w:hAnsi="Arial"/>
          <w:i/>
          <w:iCs/>
          <w:color w:val="999999"/>
          <w:sz w:val="18"/>
          <w:szCs w:val="18"/>
        </w:rPr>
        <w:t xml:space="preserve">This analysis was prepared using published pricing data, industry benchmarks, and market research from Q1 2026. All recommendations should be validated against actual usage data once the product is live.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Page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999999"/>
        <w:sz w:val="16"/>
        <w:szCs w:val="16"/>
      </w:rPr>
      <w:t xml:space="preserve">SageReasoning — Market Research: API Pricing &amp; Volume Gating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F4E79"/>
      <w:sz w:val="32"/>
      <w:szCs w:val="32"/>
    </w:rPr>
  </w:style>
  <w:style w:type="paragraph" w:styleId="Heading2">
    <w:name w:val="Heading 2"/>
    <w:basedOn w:val="Normal"/>
    <w:next w:val="Normal"/>
    <w:qFormat/>
    <w:pPr>
      <w:spacing w:after="200" w:before="200"/>
      <w:outlineLvl w:val="1"/>
    </w:pPr>
    <w:rPr>
      <w:rFonts w:ascii="Arial" w:cs="Arial" w:eastAsia="Arial" w:hAnsi="Arial"/>
      <w:b/>
      <w:bCs/>
      <w:color w:val="2E75B6"/>
      <w:sz w:val="28"/>
      <w:szCs w:val="28"/>
    </w:rPr>
  </w:style>
  <w:style w:type="paragraph" w:styleId="Heading3">
    <w:name w:val="Heading 3"/>
    <w:basedOn w:val="Normal"/>
    <w:next w:val="Normal"/>
    <w:qFormat/>
    <w:pPr>
      <w:spacing w:after="180" w:before="18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2026-04-02T23:09:26.468Z</dcterms:created>
  <dcterms:modified xsi:type="dcterms:W3CDTF">2026-04-02T23:09:26.468Z</dcterms:modified>
</cp:coreProperties>
</file>

<file path=docProps/custom.xml><?xml version="1.0" encoding="utf-8"?>
<Properties xmlns="http://schemas.openxmlformats.org/officeDocument/2006/custom-properties" xmlns:vt="http://schemas.openxmlformats.org/officeDocument/2006/docPropsVTypes"/>
</file>