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2E4057"/>
          <w:sz w:val="36"/>
          <w:szCs w:val="36"/>
        </w:rPr>
        <w:t xml:space="preserve">SAGEREASONING</w:t>
      </w:r>
    </w:p>
    <w:p>
      <w:pPr>
        <w:spacing w:after="100"/>
        <w:jc w:val="center"/>
      </w:pPr>
      <w:r>
        <w:rPr>
          <w:rFonts w:ascii="Arial" w:cs="Arial" w:eastAsia="Arial" w:hAnsi="Arial"/>
          <w:color w:val="2E4057"/>
          <w:sz w:val="28"/>
          <w:szCs w:val="28"/>
        </w:rPr>
        <w:t xml:space="preserve">Source Document License Audit</w:t>
      </w:r>
    </w:p>
    <w:p>
      <w:pPr>
        <w:spacing w:after="100"/>
        <w:jc w:val="center"/>
      </w:pPr>
      <w:r>
        <w:rPr>
          <w:rFonts w:ascii="Arial" w:cs="Arial" w:eastAsia="Arial" w:hAnsi="Arial"/>
          <w:color w:val="666666"/>
          <w:sz w:val="22"/>
          <w:szCs w:val="22"/>
        </w:rPr>
        <w:t xml:space="preserve">Perseus Digital Library Compliance Review</w:t>
      </w:r>
    </w:p>
    <w:p>
      <w:pPr>
        <w:spacing w:after="400"/>
        <w:jc w:val="center"/>
      </w:pPr>
      <w:r>
        <w:rPr>
          <w:rFonts w:ascii="Arial" w:cs="Arial" w:eastAsia="Arial" w:hAnsi="Arial"/>
          <w:color w:val="999999"/>
          <w:sz w:val="18"/>
          <w:szCs w:val="18"/>
        </w:rPr>
        <w:t xml:space="preserve">Date: 2 April 2026  |  Classification: Internal — Legal Review  |  Status: Action Required</w:t>
      </w:r>
    </w:p>
    <w:p>
      <w:pPr>
        <w:pStyle w:val="Heading1"/>
      </w:pPr>
      <w:r>
        <w:t xml:space="preserve">1. Executive Summary</w:t>
      </w:r>
    </w:p>
    <w:p>
      <w:pPr>
        <w:spacing w:after="200"/>
      </w:pPr>
      <w:r>
        <w:t xml:space="preserve">This audit reviewed the original source files in </w:t>
      </w:r>
      <w:r>
        <w:rPr>
          <w:b/>
          <w:bCs/>
        </w:rPr>
        <w:t xml:space="preserve">/research/originals/</w:t>
      </w:r>
      <w:r>
        <w:t xml:space="preserve"> that were used to produce the SageReasoning (SR) canonical translations, which in turn were used to build the V3 Stoic Brain data files now in production. The audit identified a </w:t>
      </w:r>
      <w:r>
        <w:rPr>
          <w:b/>
          <w:bCs/>
          <w:color w:val="922B21"/>
        </w:rPr>
        <w:t xml:space="preserve">critical licensing discrepancy</w:t>
      </w:r>
      <w:r>
        <w:t xml:space="preserve"> between what is documented in sources-index.md and what the source files actually state.</w:t>
      </w:r>
    </w:p>
    <w:p>
      <w:pPr>
        <w:spacing w:after="200"/>
      </w:pPr>
      <w:r>
        <w:rPr>
          <w:b/>
          <w:bCs/>
        </w:rPr>
        <w:t xml:space="preserve">Key finding: </w:t>
      </w:r>
      <w:r>
        <w:t xml:space="preserve">All 8 Perseus Digital Library XML files contain an explicit non-commercial use restriction. The sources-index.md file incorrectly records the license as CC-BY-SA-4.0 (which permits commercial use). The actual license embedded in every Perseus XML header is a custom license functionally equivalent to CC-BY-NC-SA-3.0, which </w:t>
      </w:r>
      <w:r>
        <w:rPr>
          <w:b/>
          <w:bCs/>
          <w:color w:val="922B21"/>
        </w:rPr>
        <w:t xml:space="preserve">prohibits commercial use</w:t>
      </w:r>
      <w:r>
        <w:t xml:space="preserve"> without separate authorisation from the Trustees of Tufts University.</w:t>
      </w:r>
    </w:p>
    <w:p>
      <w:pPr>
        <w:spacing w:after="200"/>
      </w:pPr>
      <w:r>
        <w:t xml:space="preserve">However, this does not necessarily mean SageReasoning is in violation. The situation is nuanced and depends on a legal distinction your lawyer needs to evaluate: whether the SR translations are derivative works of the </w:t>
      </w:r>
      <w:r>
        <w:rPr>
          <w:i/>
          <w:iCs/>
        </w:rPr>
        <w:t xml:space="preserve">Perseus digital editions</w:t>
      </w:r>
      <w:r>
        <w:t xml:space="preserve"> (which carry restrictions), or independent translations of the </w:t>
      </w:r>
      <w:r>
        <w:rPr>
          <w:i/>
          <w:iCs/>
        </w:rPr>
        <w:t xml:space="preserve">underlying ancient texts</w:t>
      </w:r>
      <w:r>
        <w:t xml:space="preserve"> (which are unambiguously in the public domain).</w:t>
      </w:r>
    </w:p>
    <w:p>
      <w:pPr>
        <w:pStyle w:val="Heading1"/>
      </w:pPr>
      <w:r>
        <w:t xml:space="preserve">2. What the Source Files Actually Say</w:t>
      </w:r>
    </w:p>
    <w:p>
      <w:pPr>
        <w:spacing w:after="200"/>
      </w:pPr>
      <w:r>
        <w:t xml:space="preserve">Every Perseus XML file contains an identical four-part restriction block in its TEI header:</w:t>
      </w:r>
    </w:p>
    <w:p>
      <w:pPr>
        <w:spacing w:after="40"/>
        <w:ind w:left="720"/>
      </w:pPr>
      <w:r>
        <w:rPr>
          <w:rFonts w:ascii="Arial" w:cs="Arial" w:eastAsia="Arial" w:hAnsi="Arial"/>
          <w:i/>
          <w:iCs/>
          <w:color w:val="444444"/>
          <w:sz w:val="20"/>
          <w:szCs w:val="20"/>
        </w:rPr>
        <w:t xml:space="preserve">"This text may be freely distributed, subject to the following restrictions:</w:t>
      </w:r>
    </w:p>
    <w:p>
      <w:pPr>
        <w:ind w:left="1080"/>
      </w:pPr>
      <w:r>
        <w:rPr>
          <w:rFonts w:ascii="Arial" w:cs="Arial" w:eastAsia="Arial" w:hAnsi="Arial"/>
          <w:i/>
          <w:iCs/>
          <w:color w:val="444444"/>
          <w:sz w:val="20"/>
          <w:szCs w:val="20"/>
        </w:rPr>
        <w:t xml:space="preserve">1. You credit Perseus [with specific attribution text]</w:t>
      </w:r>
    </w:p>
    <w:p>
      <w:pPr>
        <w:ind w:left="1080"/>
      </w:pPr>
      <w:r>
        <w:rPr>
          <w:rFonts w:ascii="Arial" w:cs="Arial" w:eastAsia="Arial" w:hAnsi="Arial"/>
          <w:i/>
          <w:iCs/>
          <w:color w:val="444444"/>
          <w:sz w:val="20"/>
          <w:szCs w:val="20"/>
        </w:rPr>
        <w:t xml:space="preserve">2. You leave this availability statement intact.</w:t>
      </w:r>
    </w:p>
    <w:p>
      <w:pPr>
        <w:ind w:left="1080"/>
      </w:pPr>
      <w:r>
        <w:rPr>
          <w:rFonts w:ascii="Arial" w:cs="Arial" w:eastAsia="Arial" w:hAnsi="Arial"/>
          <w:i/>
          <w:iCs/>
          <w:color w:val="444444"/>
          <w:sz w:val="20"/>
          <w:szCs w:val="20"/>
        </w:rPr>
        <w:t xml:space="preserve">3. You use it for non-commercial purposes only.</w:t>
      </w:r>
    </w:p>
    <w:p>
      <w:pPr>
        <w:spacing w:after="200"/>
        <w:ind w:left="1080"/>
      </w:pPr>
      <w:r>
        <w:rPr>
          <w:rFonts w:ascii="Arial" w:cs="Arial" w:eastAsia="Arial" w:hAnsi="Arial"/>
          <w:i/>
          <w:iCs/>
          <w:color w:val="444444"/>
          <w:sz w:val="20"/>
          <w:szCs w:val="20"/>
        </w:rPr>
        <w:t xml:space="preserve">4. You offer Perseus any modifications you make."</w:t>
      </w:r>
    </w:p>
    <w:p>
      <w:pPr>
        <w:spacing w:after="200"/>
      </w:pPr>
      <w:r>
        <w:t xml:space="preserve">This language appears in all 8 Perseus-sourced files. The Stobaeus files (OCR from an 1884 edition) are public domain and carry no such restriction.</w:t>
      </w:r>
    </w:p>
    <w:p>
      <w:pPr>
        <w:pStyle w:val="Heading2"/>
      </w:pPr>
      <w:r>
        <w:t xml:space="preserve">2.1 File-by-File License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200"/>
        <w:gridCol w:w="1200"/>
        <w:gridCol w:w="23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 File</w:t>
            </w:r>
          </w:p>
        </w:tc>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Folder</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Restriction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marcus-aurelius-meditations.xml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epictetus-discourses-enchiridion.xml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diogenes-laertius-lives.xml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seneca-epistulae-morales.xml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seneca-de-brevitate-vitae.xml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seneca-de-vita-beata.xml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cicero-de-finibus.xml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cicero-de-officiis.xml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Perseus</w:t>
            </w:r>
          </w:p>
        </w:tc>
        <w:tc>
          <w:tcPr>
            <w:tcW w:type="dxa" w:w="1200"/>
            <w:tcBorders>
              <w:top w:val="single" w:color="CCCCCC" w:sz="1"/>
              <w:left w:val="single" w:color="CCCCCC" w:sz="1"/>
              <w:bottom w:val="single" w:color="CCCCCC" w:sz="1"/>
              <w:right w:val="single" w:color="CCCCCC" w:sz="1"/>
            </w:tcBorders>
            <w:shd w:fill="FADBD8" w:val="clear"/>
            <w:tcMar>
              <w:top w:type="dxa" w:w="80"/>
              <w:left w:type="dxa" w:w="120"/>
              <w:bottom w:type="dxa" w:w="80"/>
              <w:right w:type="dxa" w:w="120"/>
            </w:tcMar>
          </w:tcPr>
          <w:p>
            <w:r>
              <w:rPr>
                <w:rFonts w:ascii="Arial" w:cs="Arial" w:eastAsia="Arial" w:hAnsi="Arial"/>
                <w:b/>
                <w:bCs/>
                <w:color w:val="922B21"/>
                <w:sz w:val="20"/>
                <w:szCs w:val="20"/>
              </w:rPr>
              <w:t xml:space="preserve">CRITICAL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Non-commercial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stobaeus-anthology-book2.xml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OCR/IA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domain (1884)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stobaeus-anthology-book2-ocr.txt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OCR/IA</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domain (1884)</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stobaeus-vol2-wachsmuth-hense-1884.pdf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manuscripts/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IA scan</w:t>
            </w:r>
          </w:p>
        </w:tc>
        <w:tc>
          <w:tcPr>
            <w:tcW w:type="dxa" w:w="12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NONE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domain (1884)</w:t>
            </w:r>
          </w:p>
        </w:tc>
      </w:tr>
    </w:tbl>
    <w:p>
      <w:pPr>
        <w:spacing w:after="200" w:before="100"/>
      </w:pPr>
      <w:r>
        <w:rPr>
          <w:rFonts w:ascii="Arial" w:cs="Arial" w:eastAsia="Arial" w:hAnsi="Arial"/>
          <w:color w:val="666666"/>
          <w:sz w:val="18"/>
          <w:szCs w:val="18"/>
        </w:rPr>
        <w:t xml:space="preserve">IA = Internet Archive. All Perseus files were published by the Trustees of Tufts University.</w:t>
      </w:r>
    </w:p>
    <w:p>
      <w:pPr>
        <w:pStyle w:val="Heading2"/>
      </w:pPr>
      <w:r>
        <w:t xml:space="preserve">2.2 The Documentation Discrepancy</w:t>
      </w:r>
    </w:p>
    <w:p>
      <w:pPr>
        <w:spacing w:after="200"/>
      </w:pPr>
      <w:r>
        <w:t xml:space="preserve">The sources-index.md file (line 31) states: </w:t>
      </w:r>
      <w:r>
        <w:rPr>
          <w:b/>
          <w:bCs/>
        </w:rPr>
        <w:t xml:space="preserve">"License: CC-BY-SA-4.0 (Perseus texts)"</w:t>
      </w:r>
      <w:r>
        <w:t xml:space="preserve">. This is incorrect. CC-BY-SA-4.0 permits commercial use with attribution and share-alike. The actual Perseus license explicitly prohibits commercial use. This error likely arose from confusion between Perseus’s different licensing tiers: modern scholarly contributions may use CC-BY-SA-4.0, but the primary text editions use a non-commercial license.</w:t>
      </w:r>
    </w:p>
    <w:p>
      <w:pPr>
        <w:pStyle w:val="Heading1"/>
      </w:pPr>
      <w:r>
        <w:t xml:space="preserve">3. The Critical Legal Distinction</w:t>
      </w:r>
    </w:p>
    <w:p>
      <w:pPr>
        <w:spacing w:after="200"/>
      </w:pPr>
      <w:r>
        <w:t xml:space="preserve">There are three layers involved, and each has a different legal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Copyright Status</w:t>
            </w:r>
          </w:p>
        </w:tc>
        <w:tc>
          <w:tcPr>
            <w:tcW w:type="dxa" w:w="2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Implication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Ancient texts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original Greek/Latin words of Marcus Aurelius, Seneca, etc.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Public domain (2000+ years old)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Anyone can translate these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Critical editions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Specific scholarly reconstructions of the text (e.g., Leopold 1908 for Marcus Aurelius, Schenkl 1916 for Epictetus)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 — editions pre-1929 are public domain in the US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specific textual choices may be PD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Perseus digitisation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TEI XML encoding, markup, and digital format provided by Perseus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2B21"/>
                <w:sz w:val="20"/>
                <w:szCs w:val="20"/>
              </w:rPr>
              <w:t xml:space="preserve">Non-commercial license (Tufts University)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digital format is restricted</w:t>
            </w:r>
          </w:p>
        </w:tc>
      </w:tr>
    </w:tbl>
    <w:p>
      <w:pPr>
        <w:spacing w:after="200" w:before="200"/>
      </w:pPr>
      <w:r>
        <w:t xml:space="preserve">Your SR translations were produced by reading the Perseus XML files and translating the ancient language text contained within them. The question your lawyer needs to answer is: did SageReasoning use the </w:t>
      </w:r>
      <w:r>
        <w:rPr>
          <w:i/>
          <w:iCs/>
        </w:rPr>
        <w:t xml:space="preserve">Perseus digitisation</w:t>
      </w:r>
      <w:r>
        <w:t xml:space="preserve"> (restricted) as a tool to access the </w:t>
      </w:r>
      <w:r>
        <w:rPr>
          <w:i/>
          <w:iCs/>
        </w:rPr>
        <w:t xml:space="preserve">public domain ancient text</w:t>
      </w:r>
      <w:r>
        <w:t xml:space="preserve"> (unrestricted), or did it create a derivative work of the Perseus edition?</w:t>
      </w:r>
    </w:p>
    <w:p>
      <w:pPr>
        <w:pStyle w:val="Heading2"/>
      </w:pPr>
      <w:r>
        <w:t xml:space="preserve">3.1 The Argument That SageReasoning Is Compliant</w:t>
      </w:r>
    </w:p>
    <w:p>
      <w:pPr>
        <w:spacing w:after="200"/>
      </w:pPr>
      <w:r>
        <w:t xml:space="preserve">The SR translations are original English renderings of ancient Greek and Latin. They were not copied from the Perseus XML — they were </w:t>
      </w:r>
      <w:r>
        <w:rPr>
          <w:i/>
          <w:iCs/>
        </w:rPr>
        <w:t xml:space="preserve">translated from the ancient language text</w:t>
      </w:r>
      <w:r>
        <w:t xml:space="preserve"> that the XML happens to contain. The underlying critical editions (Leopold 1908, Schenkl 1916, Gummere 1917–1925, Basore 1932, Miller 1913, Schiche 1915, Hicks 1925) are all pre-1929 and therefore in the US public domain. The Perseus non-commercial restriction arguably applies to the </w:t>
      </w:r>
      <w:r>
        <w:rPr>
          <w:i/>
          <w:iCs/>
        </w:rPr>
        <w:t xml:space="preserve">digital format and markup</w:t>
      </w:r>
      <w:r>
        <w:t xml:space="preserve">, not to the ancient text itself. SageReasoning did not redistribute the XML files, the TEI markup, or any Perseus-created content — it produced wholly new English translations.</w:t>
      </w:r>
    </w:p>
    <w:p>
      <w:pPr>
        <w:pStyle w:val="Heading2"/>
      </w:pPr>
      <w:r>
        <w:t xml:space="preserve">3.2 The Argument That SageReasoning May Not Be Compliant</w:t>
      </w:r>
    </w:p>
    <w:p>
      <w:pPr>
        <w:spacing w:after="200"/>
      </w:pPr>
      <w:r>
        <w:t xml:space="preserve">The Perseus license says the </w:t>
      </w:r>
      <w:r>
        <w:rPr>
          <w:i/>
          <w:iCs/>
        </w:rPr>
        <w:t xml:space="preserve">text</w:t>
      </w:r>
      <w:r>
        <w:t xml:space="preserve"> may be used for non-commercial purposes only. It does not limit the restriction to the XML markup — it applies to the text as distributed. If a court interprets the restriction as covering any use of the Perseus-provided content (including reading it to produce translations), then the SR translations could be considered derived from a non-commercially licensed source. Additionally, some Perseus files include not just the ancient text but also editorial annotations, section divisions, and textual notes that may have influenced the translation process.</w:t>
      </w:r>
    </w:p>
    <w:p>
      <w:pPr>
        <w:pStyle w:val="Heading2"/>
      </w:pPr>
      <w:r>
        <w:t xml:space="preserve">3.3 What Stoic Brain Was Actually Trained On</w:t>
      </w:r>
    </w:p>
    <w:p>
      <w:pPr>
        <w:spacing w:after="200"/>
      </w:pPr>
      <w:r>
        <w:t xml:space="preserve">To be precise about the chain of derivation: the V3 Stoic Brain data files (now in production) were not trained directly on the Perseus XML. The pipeline was: Perseus XML → SR Translation (original English) → V3 JSON data extraction. The Stoic Brain JSON files contain SageReasoning’s original compilation of virtue definitions, scoring weights, and structured data. They cite the SR translations as sources, not the Perseus XML. The Perseus files were an intermediate reference, not the final training input.</w:t>
      </w:r>
    </w:p>
    <w:p>
      <w:pPr>
        <w:pStyle w:val="Heading1"/>
      </w:pPr>
      <w:r>
        <w:t xml:space="preserve">4. Discoverability of Source Documents</w:t>
      </w:r>
    </w:p>
    <w:p>
      <w:pPr>
        <w:spacing w:after="200"/>
      </w:pPr>
      <w:r>
        <w:t xml:space="preserve">You asked about making the source documents non-discoverable. Here is the current situation:</w:t>
      </w:r>
    </w:p>
    <w:p>
      <w:pPr>
        <w:pStyle w:val="Heading2"/>
      </w:pPr>
      <w:r>
        <w:t xml:space="preserve">4.1 Current Exposure</w:t>
      </w:r>
    </w:p>
    <w:p>
      <w:pPr>
        <w:spacing w:after="200"/>
      </w:pPr>
      <w:r>
        <w:t xml:space="preserve">The source files are stored locally in your project folder under </w:t>
      </w:r>
      <w:r>
        <w:rPr>
          <w:b/>
          <w:bCs/>
        </w:rPr>
        <w:t xml:space="preserve">/research/originals/</w:t>
      </w:r>
      <w:r>
        <w:t xml:space="preserve">. They are </w:t>
      </w:r>
      <w:r>
        <w:rPr>
          <w:b/>
          <w:bCs/>
        </w:rPr>
        <w:t xml:space="preserve">not</w:t>
      </w:r>
      <w:r>
        <w:t xml:space="preserve"> served by the website, not included in any API response, and not referenced in any public-facing page. The sources-index.md file references them by path but is also a local file. The V3 JSON files in /stoic-brain/ cite the SR translations by title (e.g., “Marcus Aurelius, Meditations — SR translation from Greek TEI XML”) but do not expose the Perseus files themselves.</w:t>
      </w:r>
    </w:p>
    <w:p>
      <w:pPr>
        <w:pStyle w:val="Heading2"/>
      </w:pPr>
      <w:r>
        <w:t xml:space="preserve">4.2 Risk Vectors for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Current Risk</w:t>
            </w:r>
          </w:p>
        </w:tc>
        <w:tc>
          <w:tcPr>
            <w:tcW w:type="dxa" w:w="4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Git repository</w:t>
            </w:r>
          </w:p>
        </w:tc>
        <w:tc>
          <w:tcPr>
            <w:tcW w:type="dxa" w:w="1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repo is ever made public or shared, the /research/originals/ folder and its Perseus XML files would be fully visible in the git history, even if later deleted.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Website / API</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LOW</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served. No route exposes these files.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SR Translation .docx files</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translations themselves cite the Perseus edition in their headers (e.g., 'ed. Jan Hendrik Leopold, Leipzig: Teubner, 1908'). This is proper academic citation, not a license issue, but does create a trail back to Perseus.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Stoic Brain JSON metadata</w:t>
            </w:r>
          </w:p>
        </w:tc>
        <w:tc>
          <w:tcPr>
            <w:tcW w:type="dxa" w:w="16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rFonts w:ascii="Arial" w:cs="Arial" w:eastAsia="Arial" w:hAnsi="Arial"/>
                <w:b/>
                <w:bCs/>
                <w:color w:val="1E8449"/>
                <w:sz w:val="20"/>
                <w:szCs w:val="20"/>
              </w:rPr>
              <w:t xml:space="preserve">MEDIUM</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meta.primary_sources field lists 'SR translation from Greek TEI XML' which implies the TEI XML files exist somewhere in the project.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sources-index.md</w:t>
            </w:r>
          </w:p>
        </w:tc>
        <w:tc>
          <w:tcPr>
            <w:tcW w:type="dxa" w:w="1600"/>
            <w:tcBorders>
              <w:top w:val="single" w:color="CCCCCC" w:sz="1"/>
              <w:left w:val="single" w:color="CCCCCC" w:sz="1"/>
              <w:bottom w:val="single" w:color="CCCCCC" w:sz="1"/>
              <w:right w:val="single" w:color="CCCCCC" w:sz="1"/>
            </w:tcBorders>
            <w:shd w:fill="F9E79F" w:val="clear"/>
            <w:tcMar>
              <w:top w:type="dxa" w:w="80"/>
              <w:left w:type="dxa" w:w="120"/>
              <w:bottom w:type="dxa" w:w="80"/>
              <w:right w:type="dxa" w:w="120"/>
            </w:tcMar>
          </w:tcPr>
          <w:p>
            <w:r>
              <w:rPr>
                <w:rFonts w:ascii="Arial" w:cs="Arial" w:eastAsia="Arial" w:hAnsi="Arial"/>
                <w:b/>
                <w:bCs/>
                <w:color w:val="7D6608"/>
                <w:sz w:val="20"/>
                <w:szCs w:val="20"/>
              </w:rPr>
              <w:t xml:space="preserve">HIGH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Explicitly lists Perseus IDs, file paths, and the (incorrect) license. If this file ever becomes public, it documents exactly what was used.</w:t>
            </w:r>
          </w:p>
        </w:tc>
      </w:tr>
    </w:tbl>
    <w:p>
      <w:r>
        <w:br w:type="page"/>
      </w:r>
    </w:p>
    <w:p>
      <w:pPr>
        <w:pStyle w:val="Heading1"/>
      </w:pPr>
      <w:r>
        <w:t xml:space="preserve">5. Recommendations</w:t>
      </w:r>
    </w:p>
    <w:p>
      <w:pPr>
        <w:spacing w:after="200"/>
      </w:pPr>
      <w:r>
        <w:t xml:space="preserve">The following actions are ordered by priority. Items 1–3 should be done immediately; items 4–6 should be completed before any public launch.</w:t>
      </w:r>
    </w:p>
    <w:p>
      <w:pPr>
        <w:pStyle w:val="Heading2"/>
      </w:pPr>
      <w:r>
        <w:t xml:space="preserve">5.1 Immediate Actions</w:t>
      </w:r>
    </w:p>
    <w:p>
      <w:pPr>
        <w:pStyle w:val="ListParagraph"/>
        <w:numPr>
          <w:ilvl w:val="0"/>
          <w:numId w:val="2"/>
        </w:numPr>
        <w:spacing w:after="60"/>
      </w:pPr>
      <w:r>
        <w:rPr>
          <w:b/>
          <w:bCs/>
        </w:rPr>
        <w:t xml:space="preserve">Correct sources-index.md. </w:t>
      </w:r>
      <w:r>
        <w:t xml:space="preserve">Change the license line from “CC-BY-SA-4.0 (Perseus texts)” to “Perseus custom non-commercial license (see XML headers)”. Inaccurate documentation is a liability in itself.</w:t>
      </w:r>
    </w:p>
    <w:p>
      <w:pPr>
        <w:pStyle w:val="ListParagraph"/>
        <w:numPr>
          <w:ilvl w:val="0"/>
          <w:numId w:val="2"/>
        </w:numPr>
        <w:spacing w:after="60"/>
      </w:pPr>
      <w:r>
        <w:rPr>
          <w:b/>
          <w:bCs/>
        </w:rPr>
        <w:t xml:space="preserve">Add /research/originals/ to .gitignore. </w:t>
      </w:r>
      <w:r>
        <w:t xml:space="preserve">Prevent the Perseus XML files from being committed if the repo is ever pushed to a remote. If they are already in git history, they will need to be scrubbed (git filter-branch or BFG Repo Cleaner) before any public or shared access.</w:t>
      </w:r>
    </w:p>
    <w:p>
      <w:pPr>
        <w:pStyle w:val="ListParagraph"/>
        <w:numPr>
          <w:ilvl w:val="0"/>
          <w:numId w:val="2"/>
        </w:numPr>
        <w:spacing w:after="200"/>
      </w:pPr>
      <w:r>
        <w:rPr>
          <w:b/>
          <w:bCs/>
        </w:rPr>
        <w:t xml:space="preserve">Correct the business plan risk assessment. </w:t>
      </w:r>
      <w:r>
        <w:t xml:space="preserve">The SageReasoning_Legal_Revenue_Business_Plan.docx currently rates copyright risk as LOW with the rationale “Stoic source texts used are in the public domain.” This conflates the ancient texts (public domain) with the Perseus digitisations (non-commercial license). The risk rating should be upgraded to MEDIUM pending lawyer review.</w:t>
      </w:r>
    </w:p>
    <w:p>
      <w:pPr>
        <w:pStyle w:val="Heading2"/>
      </w:pPr>
      <w:r>
        <w:t xml:space="preserve">5.2 Pre-Launch Actions</w:t>
      </w:r>
    </w:p>
    <w:p>
      <w:pPr>
        <w:pStyle w:val="ListParagraph"/>
        <w:numPr>
          <w:ilvl w:val="0"/>
          <w:numId w:val="3"/>
        </w:numPr>
        <w:spacing w:after="60"/>
      </w:pPr>
      <w:r>
        <w:rPr>
          <w:b/>
          <w:bCs/>
        </w:rPr>
        <w:t xml:space="preserve">Get a lawyer opinion on the derivation chain. </w:t>
      </w:r>
      <w:r>
        <w:t xml:space="preserve">The specific question: “Does producing an original English translation from an ancient Greek/Latin text, where the text was accessed via a non-commercially licensed digital edition, constitute commercial use of that digital edition?” If the answer is no (the translation is an independent work from public domain source material), then SageReasoning is compliant. If the answer is yes, proceed to item 5.</w:t>
      </w:r>
    </w:p>
    <w:p>
      <w:pPr>
        <w:pStyle w:val="ListParagraph"/>
        <w:numPr>
          <w:ilvl w:val="0"/>
          <w:numId w:val="3"/>
        </w:numPr>
        <w:spacing w:after="60"/>
      </w:pPr>
      <w:r>
        <w:rPr>
          <w:b/>
          <w:bCs/>
        </w:rPr>
        <w:t xml:space="preserve">If needed: re-derive from clean public domain sources. </w:t>
      </w:r>
      <w:r>
        <w:t xml:space="preserve">Alternative sources for the same ancient texts exist that carry no non-commercial restriction. The critical editions themselves (Leopold 1908, Schenkl 1916, etc.) are pre-1929 US publications and are in the public domain. Scans of these editions are available on Internet Archive and Google Books. You could re-derive the translations from these scans (as was already done for Stobaeus) to eliminate any Perseus dependency entirely.</w:t>
      </w:r>
    </w:p>
    <w:p>
      <w:pPr>
        <w:pStyle w:val="ListParagraph"/>
        <w:numPr>
          <w:ilvl w:val="0"/>
          <w:numId w:val="3"/>
        </w:numPr>
        <w:spacing w:after="200"/>
      </w:pPr>
      <w:r>
        <w:rPr>
          <w:b/>
          <w:bCs/>
        </w:rPr>
        <w:t xml:space="preserve">Sanitise metadata references. </w:t>
      </w:r>
      <w:r>
        <w:t xml:space="preserve">Remove or generalise the “from Greek TEI XML” language in stoic-brain.json’s meta.primary_sources. Replace with “SR translation from [Author], [Edition], [Date]” which credits the public domain critical edition rather than implying a Perseus dependency. Similarly, the SR Translation .docx headers already cite the critical edition rather than Perseus, which is the correct approach.</w:t>
      </w:r>
    </w:p>
    <w:p>
      <w:pPr>
        <w:pStyle w:val="Heading2"/>
      </w:pPr>
      <w:r>
        <w:t xml:space="preserve">5.3 Discoverability Reduction</w:t>
      </w:r>
    </w:p>
    <w:p>
      <w:pPr>
        <w:spacing w:after="200"/>
      </w:pPr>
      <w:r>
        <w:t xml:space="preserve">To make the Perseus source files non-discoverable while retaining the SR translations (which are your original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Keep /research/originals/translations/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These are SageReasoning’s original translations. They are your IP. Keep them.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Keep /research/originals/glossary/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controlled glossary is original SageReasoning work. Keep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Archive then delete greek/ and latin/ folders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Move the Perseus XML files to a separate offline backup (USB, encrypted archive). Delete from the project folder. They are no longer needed — the translations are complete.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Archive then delete manuscripts/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Stobaeus PDF is public domain and carries no risk, but at 15.7 MB it is unnecessary to keep in the project. Archive offline.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Scrub git history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the repo has been committed with these files, use BFG Repo Cleaner or git filter-repo to remove them from all historical commits before any push.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Update sources-index.md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the file path references to the greek/ and latin/ folders. Keep the table listing what was acquired (for your records) but remove paths that would reveal where the files were stored.</w:t>
            </w:r>
          </w:p>
        </w:tc>
      </w:tr>
    </w:tbl>
    <w:p>
      <w:pPr>
        <w:spacing w:after="200" w:before="200"/>
      </w:pPr>
    </w:p>
    <w:p>
      <w:pPr>
        <w:pStyle w:val="Heading1"/>
      </w:pPr>
      <w:r>
        <w:t xml:space="preserve">6. Impact on Stoic Brain &amp; the Business</w:t>
      </w:r>
    </w:p>
    <w:p>
      <w:pPr>
        <w:spacing w:after="200"/>
      </w:pPr>
      <w:r>
        <w:t xml:space="preserve">Your intuition was correct that the original files may carry a different legal status than what was documented. The good news is that the situation is </w:t>
      </w:r>
      <w:r>
        <w:rPr>
          <w:b/>
          <w:bCs/>
        </w:rPr>
        <w:t xml:space="preserve">likely defensible</w:t>
      </w:r>
      <w:r>
        <w:t xml:space="preserve"> because:</w:t>
      </w:r>
    </w:p>
    <w:p>
      <w:pPr>
        <w:spacing w:after="60"/>
        <w:ind w:left="720"/>
      </w:pPr>
      <w:r>
        <w:t xml:space="preserve">The ancient texts are unambiguously public domain. No one owns Marcus Aurelius’s words.</w:t>
      </w:r>
    </w:p>
    <w:p>
      <w:pPr>
        <w:spacing w:after="60"/>
        <w:ind w:left="720"/>
      </w:pPr>
      <w:r>
        <w:t xml:space="preserve">The critical editions used are all pre-1929 and public domain in the US.</w:t>
      </w:r>
    </w:p>
    <w:p>
      <w:pPr>
        <w:spacing w:after="60"/>
        <w:ind w:left="720"/>
      </w:pPr>
      <w:r>
        <w:t xml:space="preserve">The SR translations are original work, not copies of the Perseus XML.</w:t>
      </w:r>
    </w:p>
    <w:p>
      <w:pPr>
        <w:spacing w:after="60"/>
        <w:ind w:left="720"/>
      </w:pPr>
      <w:r>
        <w:t xml:space="preserve">The Stoic Brain data files are a further derivative — a structured compilation, not a reproduction of any source.</w:t>
      </w:r>
    </w:p>
    <w:p>
      <w:pPr>
        <w:spacing w:after="200"/>
        <w:ind w:left="720"/>
      </w:pPr>
      <w:r>
        <w:t xml:space="preserve">Perseus’s non-commercial restriction is most strongly directed at redistributing </w:t>
      </w:r>
      <w:r>
        <w:rPr>
          <w:i/>
          <w:iCs/>
        </w:rPr>
        <w:t xml:space="preserve">their digital files</w:t>
      </w:r>
      <w:r>
        <w:t xml:space="preserve">, not at preventing anyone from reading ancient Greek and producing their own English translation.</w:t>
      </w:r>
    </w:p>
    <w:p>
      <w:pPr>
        <w:spacing w:after="200"/>
      </w:pPr>
      <w:r>
        <w:t xml:space="preserve">The risk becomes a genuine problem only if SageReasoning redistributes the Perseus XML files themselves in a commercial context, or if a court interprets “use” so broadly that reading a non-commercially licensed text to inform your own original translation counts as commercial use. The latter interpretation would have sweeping implications that would affect virtually every academic and publishing institution, making it unlikely to be upheld. But “unlikely” is not “impossible,” which is why the lawyer review matters.</w:t>
      </w:r>
    </w:p>
    <w:p>
      <w:pPr>
        <w:pStyle w:val="Heading1"/>
      </w:pPr>
      <w:r>
        <w:t xml:space="preserve">7. Conclusion</w:t>
      </w:r>
    </w:p>
    <w:p>
      <w:pPr>
        <w:spacing w:after="200"/>
      </w:pPr>
      <w:r>
        <w:t xml:space="preserve">The documentation errors (incorrect CC-BY-SA-4.0 label, LOW copyright risk rating) should be fixed immediately regardless of the legal outcome. The Perseus XML files should be archived offline and removed from the project — the translations are complete and the source files serve no further purpose. The lawyer review should specifically address the derivation chain question before commercial launch. If any doubt remains, the cleanest path is to re-derive from Internet Archive scans of the same pre-1929 editions, which eliminates Perseus as a factor entirely.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SAGEREASONING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0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2026-04-02T10:33:32.078Z</dcterms:created>
  <dcterms:modified xsi:type="dcterms:W3CDTF">2026-04-02T10:33:32.078Z</dcterms:modified>
</cp:coreProperties>
</file>

<file path=docProps/custom.xml><?xml version="1.0" encoding="utf-8"?>
<Properties xmlns="http://schemas.openxmlformats.org/officeDocument/2006/custom-properties" xmlns:vt="http://schemas.openxmlformats.org/officeDocument/2006/docPropsVTypes"/>
</file>