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4B"/>
          <w:sz w:val="40"/>
          <w:szCs w:val="40"/>
        </w:rPr>
        <w:t xml:space="preserve">SAGEREASONING</w:t>
      </w:r>
    </w:p>
    <w:p>
      <w:pPr>
        <w:pBdr>
          <w:bottom w:val="single" w:color="1B3A4B" w:sz="8" w:space="1"/>
        </w:pBdr>
        <w:spacing w:after="40"/>
      </w:pPr>
      <w:r>
        <w:rPr>
          <w:rFonts w:ascii="Arial" w:cs="Arial" w:eastAsia="Arial" w:hAnsi="Arial"/>
          <w:color w:val="2E5D73"/>
          <w:sz w:val="28"/>
          <w:szCs w:val="28"/>
        </w:rPr>
        <w:t xml:space="preserve">Application Review Process for Full Engine Access</w:t>
      </w:r>
    </w:p>
    <w:p>
      <w:pPr>
        <w:spacing w:after="360"/>
      </w:pPr>
      <w:r>
        <w:rPr>
          <w:rFonts w:ascii="Arial" w:cs="Arial" w:eastAsia="Arial" w:hAnsi="Arial"/>
          <w:i/>
          <w:iCs/>
          <w:color w:val="888888"/>
          <w:sz w:val="20"/>
          <w:szCs w:val="20"/>
        </w:rPr>
        <w:t xml:space="preserve">Version 1.0 — April 2026 — Internal Reference Document</w:t>
      </w: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SageReasoning provides Stoic reasoning infrastructure for AI agents and humans. Because the Full Sage Reasoning Engine (paid tier) grants deep access to proprietary evaluation sequences, deliberation chains, and the complete agent assessment framework, SageReasoning requires an application review before issuing paid-tier API keys.</w:t>
      </w:r>
    </w:p>
    <w:p>
      <w:pPr>
        <w:spacing w:after="120"/>
      </w:pPr>
      <w:r>
        <w:rPr>
          <w:rFonts w:ascii="Arial" w:cs="Arial" w:eastAsia="Arial" w:hAnsi="Arial"/>
          <w:sz w:val="22"/>
          <w:szCs w:val="22"/>
        </w:rPr>
        <w:t xml:space="preserve">This process exists to protect SageReasoning’s intellectual property (manifest rule R4), ensure compliance with usage restrictions (R1, R2, R9, R13), and maintain the quality and reputation of the reasoning infrastructure by screening for misuse before it occurs.</w:t>
      </w:r>
    </w:p>
    <w:p>
      <w:pPr>
        <w:pStyle w:val="Heading1"/>
      </w:pPr>
      <w:r>
        <w:rPr>
          <w:rFonts w:ascii="Arial" w:cs="Arial" w:eastAsia="Arial" w:hAnsi="Arial"/>
        </w:rPr>
        <w:t xml:space="preserve">2. Access That Does Not Require Review</w:t>
      </w:r>
    </w:p>
    <w:p>
      <w:pPr>
        <w:spacing w:after="120"/>
      </w:pPr>
      <w:r>
        <w:rPr>
          <w:rFonts w:ascii="Arial" w:cs="Arial" w:eastAsia="Arial" w:hAnsi="Arial"/>
          <w:sz w:val="22"/>
          <w:szCs w:val="22"/>
        </w:rPr>
        <w:t xml:space="preserve">The following access levels are self-service and do not require any application 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32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Get</w:t>
            </w:r>
          </w:p>
        </w:tc>
        <w:tc>
          <w:tcPr>
            <w:tcW w:type="dxa" w:w="32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Get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Public Endpoints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Stoic Brain V3 dataset, data file downloads, demo evaluation (500 char limit, 5 req/min)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authentication needed. Just call the endpoints.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 Tier API Key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API call/day, 1 deliberation iteration, 1 baseline retake/month, Phases 1–2 assessment (14 of 55 assessments)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 signup. Instant key generation. No review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 Skill Wrappers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wrapper templates (guard → execute → score → iterate pattern). Wrappers consume your API calls.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from the wrapper registry. No approval needed.</w:t>
            </w:r>
          </w:p>
        </w:tc>
      </w:tr>
    </w:tbl>
    <w:p>
      <w:pPr>
        <w:spacing w:after="120"/>
      </w:pPr>
    </w:p>
    <w:p>
      <w:pPr>
        <w:spacing w:after="120"/>
      </w:pPr>
      <w:r>
        <w:rPr>
          <w:rFonts w:ascii="Arial" w:cs="Arial" w:eastAsia="Arial" w:hAnsi="Arial"/>
          <w:sz w:val="22"/>
          <w:szCs w:val="22"/>
        </w:rPr>
        <w:t xml:space="preserve">The free tier is deliberately generous enough for evaluation. A developer can test every endpoint, see how scoring works, and decide whether the full engine fits their use case — all without any gatekeeping.</w:t>
      </w:r>
    </w:p>
    <w:p>
      <w:pPr>
        <w:pStyle w:val="Heading1"/>
      </w:pPr>
      <w:r>
        <w:rPr>
          <w:rFonts w:ascii="Arial" w:cs="Arial" w:eastAsia="Arial" w:hAnsi="Arial"/>
        </w:rPr>
        <w:t xml:space="preserve">3. Access That Requires Application Review</w:t>
      </w:r>
    </w:p>
    <w:p>
      <w:pPr>
        <w:spacing w:after="120"/>
      </w:pPr>
      <w:r>
        <w:rPr>
          <w:rFonts w:ascii="Arial" w:cs="Arial" w:eastAsia="Arial" w:hAnsi="Arial"/>
          <w:sz w:val="22"/>
          <w:szCs w:val="22"/>
        </w:rPr>
        <w:t xml:space="preserve">An application review is required for:</w:t>
      </w:r>
    </w:p>
    <w:p>
      <w:pPr>
        <w:pStyle w:val="ListParagraph"/>
        <w:numPr>
          <w:ilvl w:val="0"/>
          <w:numId w:val="2"/>
        </w:numPr>
      </w:pPr>
      <w:r>
        <w:rPr>
          <w:rFonts w:ascii="Arial" w:cs="Arial" w:eastAsia="Arial" w:hAnsi="Arial"/>
          <w:sz w:val="22"/>
          <w:szCs w:val="22"/>
        </w:rPr>
        <w:t xml:space="preserve">Paid-tier API keys (up to 10,000 calls/month, 3 deliberation iterations per chain, all 8 assessment phases / 55 assessments)</w:t>
      </w:r>
    </w:p>
    <w:p>
      <w:pPr>
        <w:pStyle w:val="ListParagraph"/>
        <w:numPr>
          <w:ilvl w:val="0"/>
          <w:numId w:val="2"/>
        </w:numPr>
      </w:pPr>
      <w:r>
        <w:rPr>
          <w:rFonts w:ascii="Arial" w:cs="Arial" w:eastAsia="Arial" w:hAnsi="Arial"/>
          <w:sz w:val="22"/>
          <w:szCs w:val="22"/>
        </w:rPr>
        <w:t xml:space="preserve">Enterprise self-hosted deployment licence (full unredacted Stoic Brain data files)</w:t>
      </w:r>
    </w:p>
    <w:p>
      <w:pPr>
        <w:pStyle w:val="ListParagraph"/>
        <w:numPr>
          <w:ilvl w:val="0"/>
          <w:numId w:val="2"/>
        </w:numPr>
      </w:pPr>
      <w:r>
        <w:rPr>
          <w:rFonts w:ascii="Arial" w:cs="Arial" w:eastAsia="Arial" w:hAnsi="Arial"/>
          <w:sz w:val="22"/>
          <w:szCs w:val="22"/>
        </w:rPr>
        <w:t xml:space="preserve">Embedding platform agreements (platforms integrating sage-reason as an internal component per R13)</w:t>
      </w:r>
    </w:p>
    <w:p>
      <w:pPr>
        <w:spacing w:after="120"/>
      </w:pPr>
    </w:p>
    <w:p>
      <w:pPr>
        <w:spacing w:after="120"/>
      </w:pPr>
      <w:r>
        <w:rPr>
          <w:rFonts w:ascii="Arial" w:cs="Arial" w:eastAsia="Arial" w:hAnsi="Arial"/>
          <w:sz w:val="22"/>
          <w:szCs w:val="22"/>
        </w:rPr>
        <w:t xml:space="preserve">The review is not about gatekeeping — it is about ensuring that use cases comply with SageReasoning’s manifest rules before granting access to the full engine.</w:t>
      </w:r>
    </w:p>
    <w:p>
      <w:pPr>
        <w:pStyle w:val="Heading1"/>
      </w:pPr>
      <w:r>
        <w:rPr>
          <w:rFonts w:ascii="Arial" w:cs="Arial" w:eastAsia="Arial" w:hAnsi="Arial"/>
        </w:rPr>
        <w:t xml:space="preserve">4. What the Application Asks</w:t>
      </w:r>
    </w:p>
    <w:p>
      <w:pPr>
        <w:spacing w:after="120"/>
      </w:pPr>
      <w:r>
        <w:rPr>
          <w:rFonts w:ascii="Arial" w:cs="Arial" w:eastAsia="Arial" w:hAnsi="Arial"/>
          <w:sz w:val="22"/>
          <w:szCs w:val="22"/>
        </w:rPr>
        <w:t xml:space="preserve">The application form collects the information needed to evaluate compliance. It is submitted via a web form at sagereasoning.com/apply or by email to zeus@sagereasoning.com.</w:t>
      </w:r>
    </w:p>
    <w:p>
      <w:pPr>
        <w:pStyle w:val="Heading2"/>
      </w:pPr>
      <w:r>
        <w:rPr>
          <w:rFonts w:ascii="Arial" w:cs="Arial" w:eastAsia="Arial" w:hAnsi="Arial"/>
        </w:rPr>
        <w:t xml:space="preserve">4a. Applicant Identity</w:t>
      </w:r>
    </w:p>
    <w:p>
      <w:pPr>
        <w:pStyle w:val="ListParagraph"/>
        <w:numPr>
          <w:ilvl w:val="0"/>
          <w:numId w:val="3"/>
        </w:numPr>
        <w:spacing w:after="60"/>
      </w:pPr>
      <w:r>
        <w:rPr>
          <w:rFonts w:ascii="Arial" w:cs="Arial" w:eastAsia="Arial" w:hAnsi="Arial"/>
          <w:sz w:val="22"/>
          <w:szCs w:val="22"/>
        </w:rPr>
        <w:t xml:space="preserve">Name or organization name</w:t>
      </w:r>
    </w:p>
    <w:p>
      <w:pPr>
        <w:pStyle w:val="ListParagraph"/>
        <w:numPr>
          <w:ilvl w:val="0"/>
          <w:numId w:val="3"/>
        </w:numPr>
        <w:spacing w:after="60"/>
      </w:pPr>
      <w:r>
        <w:rPr>
          <w:rFonts w:ascii="Arial" w:cs="Arial" w:eastAsia="Arial" w:hAnsi="Arial"/>
          <w:sz w:val="22"/>
          <w:szCs w:val="22"/>
        </w:rPr>
        <w:t xml:space="preserve">Contact email</w:t>
      </w:r>
    </w:p>
    <w:p>
      <w:pPr>
        <w:pStyle w:val="ListParagraph"/>
        <w:numPr>
          <w:ilvl w:val="0"/>
          <w:numId w:val="3"/>
        </w:numPr>
        <w:spacing w:after="60"/>
      </w:pPr>
      <w:r>
        <w:rPr>
          <w:rFonts w:ascii="Arial" w:cs="Arial" w:eastAsia="Arial" w:hAnsi="Arial"/>
          <w:sz w:val="22"/>
          <w:szCs w:val="22"/>
        </w:rPr>
        <w:t xml:space="preserve">Website or repository URL (if applicable)</w:t>
      </w:r>
    </w:p>
    <w:p>
      <w:pPr>
        <w:pStyle w:val="ListParagraph"/>
        <w:numPr>
          <w:ilvl w:val="0"/>
          <w:numId w:val="3"/>
        </w:numPr>
        <w:spacing w:after="60"/>
      </w:pPr>
      <w:r>
        <w:rPr>
          <w:rFonts w:ascii="Arial" w:cs="Arial" w:eastAsia="Arial" w:hAnsi="Arial"/>
          <w:sz w:val="22"/>
          <w:szCs w:val="22"/>
        </w:rPr>
        <w:t xml:space="preserve">Are you an individual developer, a company, or an AI agent platform?</w:t>
      </w:r>
    </w:p>
    <w:p>
      <w:pPr>
        <w:pStyle w:val="Heading2"/>
      </w:pPr>
      <w:r>
        <w:rPr>
          <w:rFonts w:ascii="Arial" w:cs="Arial" w:eastAsia="Arial" w:hAnsi="Arial"/>
        </w:rPr>
        <w:t xml:space="preserve">4b. Intended Use Case</w:t>
      </w:r>
    </w:p>
    <w:p>
      <w:pPr>
        <w:pStyle w:val="ListParagraph"/>
        <w:numPr>
          <w:ilvl w:val="0"/>
          <w:numId w:val="4"/>
        </w:numPr>
        <w:spacing w:after="60"/>
      </w:pPr>
      <w:r>
        <w:rPr>
          <w:rFonts w:ascii="Arial" w:cs="Arial" w:eastAsia="Arial" w:hAnsi="Arial"/>
          <w:sz w:val="22"/>
          <w:szCs w:val="22"/>
        </w:rPr>
        <w:t xml:space="preserve">Describe what you are building or plan to build using the Sage Reasoning Engine.</w:t>
      </w:r>
    </w:p>
    <w:p>
      <w:pPr>
        <w:pStyle w:val="ListParagraph"/>
        <w:numPr>
          <w:ilvl w:val="0"/>
          <w:numId w:val="4"/>
        </w:numPr>
        <w:spacing w:after="60"/>
      </w:pPr>
      <w:r>
        <w:rPr>
          <w:rFonts w:ascii="Arial" w:cs="Arial" w:eastAsia="Arial" w:hAnsi="Arial"/>
          <w:sz w:val="22"/>
          <w:szCs w:val="22"/>
        </w:rPr>
        <w:t xml:space="preserve">Which endpoints do you plan to use? (scoring, deliberation chains, agent baseline, assessment, advise-action)</w:t>
      </w:r>
    </w:p>
    <w:p>
      <w:pPr>
        <w:pStyle w:val="ListParagraph"/>
        <w:numPr>
          <w:ilvl w:val="0"/>
          <w:numId w:val="4"/>
        </w:numPr>
        <w:spacing w:after="60"/>
      </w:pPr>
      <w:r>
        <w:rPr>
          <w:rFonts w:ascii="Arial" w:cs="Arial" w:eastAsia="Arial" w:hAnsi="Arial"/>
          <w:sz w:val="22"/>
          <w:szCs w:val="22"/>
        </w:rPr>
        <w:t xml:space="preserve">Estimated monthly API call volume.</w:t>
      </w:r>
    </w:p>
    <w:p>
      <w:pPr>
        <w:pStyle w:val="ListParagraph"/>
        <w:numPr>
          <w:ilvl w:val="0"/>
          <w:numId w:val="4"/>
        </w:numPr>
        <w:spacing w:after="60"/>
      </w:pPr>
      <w:r>
        <w:rPr>
          <w:rFonts w:ascii="Arial" w:cs="Arial" w:eastAsia="Arial" w:hAnsi="Arial"/>
          <w:sz w:val="22"/>
          <w:szCs w:val="22"/>
        </w:rPr>
        <w:t xml:space="preserve">Will end users interact directly with SageReasoning output, or is it consumed internally by your system?</w:t>
      </w:r>
    </w:p>
    <w:p>
      <w:pPr>
        <w:pStyle w:val="Heading2"/>
      </w:pPr>
      <w:r>
        <w:rPr>
          <w:rFonts w:ascii="Arial" w:cs="Arial" w:eastAsia="Arial" w:hAnsi="Arial"/>
        </w:rPr>
        <w:t xml:space="preserve">4c. Compliance Screening</w:t>
      </w:r>
    </w:p>
    <w:p>
      <w:pPr>
        <w:pStyle w:val="ListParagraph"/>
        <w:numPr>
          <w:ilvl w:val="0"/>
          <w:numId w:val="5"/>
        </w:numPr>
        <w:spacing w:after="60"/>
      </w:pPr>
      <w:r>
        <w:rPr>
          <w:rFonts w:ascii="Arial" w:cs="Arial" w:eastAsia="Arial" w:hAnsi="Arial"/>
          <w:sz w:val="22"/>
          <w:szCs w:val="22"/>
        </w:rPr>
        <w:t xml:space="preserve">Will your application present, imply, or be marketed as offering therapeutic, psychological, or clinical services? (Must answer No — R1)</w:t>
      </w:r>
    </w:p>
    <w:p>
      <w:pPr>
        <w:pStyle w:val="ListParagraph"/>
        <w:numPr>
          <w:ilvl w:val="0"/>
          <w:numId w:val="5"/>
        </w:numPr>
        <w:spacing w:after="60"/>
      </w:pPr>
      <w:r>
        <w:rPr>
          <w:rFonts w:ascii="Arial" w:cs="Arial" w:eastAsia="Arial" w:hAnsi="Arial"/>
          <w:sz w:val="22"/>
          <w:szCs w:val="22"/>
        </w:rPr>
        <w:t xml:space="preserve">Will your application use SageReasoning output to evaluate people for hiring, employment screening, or HR assessment? (Must answer No — R2)</w:t>
      </w:r>
    </w:p>
    <w:p>
      <w:pPr>
        <w:pStyle w:val="ListParagraph"/>
        <w:numPr>
          <w:ilvl w:val="0"/>
          <w:numId w:val="5"/>
        </w:numPr>
        <w:spacing w:after="60"/>
      </w:pPr>
      <w:r>
        <w:rPr>
          <w:rFonts w:ascii="Arial" w:cs="Arial" w:eastAsia="Arial" w:hAnsi="Arial"/>
          <w:sz w:val="22"/>
          <w:szCs w:val="22"/>
        </w:rPr>
        <w:t xml:space="preserve">Will your application display the required disclaimer on all evaluative output? (Must answer Yes — R3)</w:t>
      </w:r>
    </w:p>
    <w:p>
      <w:pPr>
        <w:pStyle w:val="ListParagraph"/>
        <w:numPr>
          <w:ilvl w:val="0"/>
          <w:numId w:val="5"/>
        </w:numPr>
        <w:spacing w:after="60"/>
      </w:pPr>
      <w:r>
        <w:rPr>
          <w:rFonts w:ascii="Arial" w:cs="Arial" w:eastAsia="Arial" w:hAnsi="Arial"/>
          <w:sz w:val="22"/>
          <w:szCs w:val="22"/>
        </w:rPr>
        <w:t xml:space="preserve">Will your application promise or guarantee specific life outcomes from following SageReasoning recommendations? (Must answer No — R9)</w:t>
      </w:r>
    </w:p>
    <w:p>
      <w:pPr>
        <w:pStyle w:val="ListParagraph"/>
        <w:numPr>
          <w:ilvl w:val="0"/>
          <w:numId w:val="5"/>
        </w:numPr>
        <w:spacing w:after="60"/>
      </w:pPr>
      <w:r>
        <w:rPr>
          <w:rFonts w:ascii="Arial" w:cs="Arial" w:eastAsia="Arial" w:hAnsi="Arial"/>
          <w:sz w:val="22"/>
          <w:szCs w:val="22"/>
        </w:rPr>
        <w:t xml:space="preserve">If you are an embedding platform: will you frame sage-reason output as assessment of subject matter rather than reasoning quality? (Must answer No — R13)</w:t>
      </w:r>
    </w:p>
    <w:p>
      <w:pPr>
        <w:pStyle w:val="Heading2"/>
      </w:pPr>
      <w:r>
        <w:rPr>
          <w:rFonts w:ascii="Arial" w:cs="Arial" w:eastAsia="Arial" w:hAnsi="Arial"/>
        </w:rPr>
        <w:t xml:space="preserve">4d. Technical Details</w:t>
      </w:r>
    </w:p>
    <w:p>
      <w:pPr>
        <w:pStyle w:val="ListParagraph"/>
        <w:numPr>
          <w:ilvl w:val="0"/>
          <w:numId w:val="6"/>
        </w:numPr>
        <w:spacing w:after="60"/>
      </w:pPr>
      <w:r>
        <w:rPr>
          <w:rFonts w:ascii="Arial" w:cs="Arial" w:eastAsia="Arial" w:hAnsi="Arial"/>
          <w:sz w:val="22"/>
          <w:szCs w:val="22"/>
        </w:rPr>
        <w:t xml:space="preserve">Are you requesting standard paid-tier API access, enterprise self-hosted access, or an embedding platform agreement?</w:t>
      </w:r>
    </w:p>
    <w:p>
      <w:pPr>
        <w:pStyle w:val="ListParagraph"/>
        <w:numPr>
          <w:ilvl w:val="0"/>
          <w:numId w:val="6"/>
        </w:numPr>
        <w:spacing w:after="60"/>
      </w:pPr>
      <w:r>
        <w:rPr>
          <w:rFonts w:ascii="Arial" w:cs="Arial" w:eastAsia="Arial" w:hAnsi="Arial"/>
          <w:sz w:val="22"/>
          <w:szCs w:val="22"/>
        </w:rPr>
        <w:t xml:space="preserve">Do you plan to distribute any wrappers or integrations publicly? If so, confirm they will not embed API keys, system prompts, or scoring logic (R11).</w:t>
      </w:r>
    </w:p>
    <w:p>
      <w:pPr>
        <w:pStyle w:val="ListParagraph"/>
        <w:numPr>
          <w:ilvl w:val="0"/>
          <w:numId w:val="6"/>
        </w:numPr>
        <w:spacing w:after="60"/>
      </w:pPr>
      <w:r>
        <w:rPr>
          <w:rFonts w:ascii="Arial" w:cs="Arial" w:eastAsia="Arial" w:hAnsi="Arial"/>
          <w:sz w:val="22"/>
          <w:szCs w:val="22"/>
        </w:rPr>
        <w:t xml:space="preserve">If building original sage skills: confirm each will derive from 2+ Stoic Brain mechanisms (R12).</w:t>
      </w:r>
    </w:p>
    <w:p>
      <w:r>
        <w:br w:type="page"/>
      </w:r>
    </w:p>
    <w:p>
      <w:pPr>
        <w:pStyle w:val="Heading1"/>
      </w:pPr>
      <w:r>
        <w:rPr>
          <w:rFonts w:ascii="Arial" w:cs="Arial" w:eastAsia="Arial" w:hAnsi="Arial"/>
        </w:rPr>
        <w:t xml:space="preserve">5. Review Process</w:t>
      </w:r>
    </w:p>
    <w:p>
      <w:pPr>
        <w:pStyle w:val="Heading2"/>
      </w:pPr>
      <w:r>
        <w:rPr>
          <w:rFonts w:ascii="Arial" w:cs="Arial" w:eastAsia="Arial" w:hAnsi="Arial"/>
        </w:rPr>
        <w:t xml:space="preserve">5a.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Application received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acknowledgment email sent to applicant.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Initial screening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2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compliance answers against mandatory rules. Auto-reject if any mandatory answer is wrong.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 case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5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the intended use case for alignment with SageReasoning’s mission and manifest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Decision issued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5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conditionally approved (with requirements), or declined with explanation.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provisioned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day as approval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Paid-tier API key generated and delivered securely.</w:t>
            </w:r>
          </w:p>
        </w:tc>
      </w:tr>
    </w:tbl>
    <w:p>
      <w:pPr>
        <w:spacing w:after="200"/>
      </w:pPr>
    </w:p>
    <w:p>
      <w:pPr>
        <w:pStyle w:val="Heading2"/>
      </w:pPr>
      <w:r>
        <w:rPr>
          <w:rFonts w:ascii="Arial" w:cs="Arial" w:eastAsia="Arial" w:hAnsi="Arial"/>
        </w:rPr>
        <w:t xml:space="preserve">5b. Review Criteria</w:t>
      </w:r>
    </w:p>
    <w:p>
      <w:pPr>
        <w:spacing w:after="120"/>
      </w:pPr>
      <w:r>
        <w:rPr>
          <w:rFonts w:ascii="Arial" w:cs="Arial" w:eastAsia="Arial" w:hAnsi="Arial"/>
          <w:sz w:val="22"/>
          <w:szCs w:val="22"/>
        </w:rPr>
        <w:t xml:space="preserve">Every application is evaluated against these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4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Check</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 if Failed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 Compliance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therapeutic, psychological, or clinical framing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rejection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R2 Compliance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employment evaluation, hiring screening, or HR assessment 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rejection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R3 Commitment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 confirms they will display the required disclaimer on evaluative output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rejection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R9 Compliance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outcome guarantees or life-result promises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rejection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 Case Fit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application uses SageReasoning for reasoning evaluation, philosophical reflection, or decision-quality assessment — not as a general-purpose scoring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or declined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IP Protection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indication the applicant will reverse-engineer, redistribute, or use data to build a competing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Volume Reasonableness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Requested volume aligns with described use case (prevents bulk extraction)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(lower limit)</w:t>
            </w:r>
          </w:p>
        </w:tc>
      </w:tr>
    </w:tbl>
    <w:p>
      <w:pPr>
        <w:spacing w:after="200"/>
      </w:pPr>
    </w:p>
    <w:p>
      <w:pPr>
        <w:pStyle w:val="Heading2"/>
      </w:pPr>
      <w:r>
        <w:rPr>
          <w:rFonts w:ascii="Arial" w:cs="Arial" w:eastAsia="Arial" w:hAnsi="Arial"/>
        </w:rPr>
        <w:t xml:space="preserve">5c. Decision Outcomes</w:t>
      </w:r>
    </w:p>
    <w:p>
      <w:pPr>
        <w:spacing w:after="120"/>
      </w:pPr>
      <w:r>
        <w:rPr>
          <w:rFonts w:ascii="Arial" w:cs="Arial" w:eastAsia="Arial" w:hAnsi="Arial"/>
          <w:sz w:val="22"/>
          <w:szCs w:val="22"/>
        </w:rPr>
        <w:t xml:space="preserve">Approved: The applicant receives a paid-tier API key with the requested limits. A welcome email includes integration documentation, the required disclaimer text, and a link to the wrapper registry.</w:t>
      </w:r>
    </w:p>
    <w:p>
      <w:pPr>
        <w:spacing w:after="120"/>
      </w:pPr>
      <w:r>
        <w:rPr>
          <w:rFonts w:ascii="Arial" w:cs="Arial" w:eastAsia="Arial" w:hAnsi="Arial"/>
          <w:sz w:val="22"/>
          <w:szCs w:val="22"/>
        </w:rPr>
        <w:t xml:space="preserve">Conditionally Approved: The applicant receives approval subject to specific requirements (for example, lower initial volume limits with a review after 30 days, or a requirement to submit their disclaimer implementation for review before going live).</w:t>
      </w:r>
    </w:p>
    <w:p>
      <w:pPr>
        <w:spacing w:after="120"/>
      </w:pPr>
      <w:r>
        <w:rPr>
          <w:rFonts w:ascii="Arial" w:cs="Arial" w:eastAsia="Arial" w:hAnsi="Arial"/>
          <w:sz w:val="22"/>
          <w:szCs w:val="22"/>
        </w:rPr>
        <w:t xml:space="preserve">Declined: The applicant receives a clear explanation of which rule(s) their use case conflicts with. They may reapply if their use case changes. Declined applicants retain free-tier access.</w:t>
      </w:r>
    </w:p>
    <w:p>
      <w:pPr>
        <w:pStyle w:val="Heading1"/>
      </w:pPr>
      <w:r>
        <w:rPr>
          <w:rFonts w:ascii="Arial" w:cs="Arial" w:eastAsia="Arial" w:hAnsi="Arial"/>
        </w:rPr>
        <w:t xml:space="preserve">6. Post-Approval Monitoring</w:t>
      </w:r>
    </w:p>
    <w:p>
      <w:pPr>
        <w:spacing w:after="120"/>
      </w:pPr>
      <w:r>
        <w:rPr>
          <w:rFonts w:ascii="Arial" w:cs="Arial" w:eastAsia="Arial" w:hAnsi="Arial"/>
          <w:sz w:val="22"/>
          <w:szCs w:val="22"/>
        </w:rPr>
        <w:t xml:space="preserve">Approval is not permanent and unconditional. SageReasoning reserves the right to revoke access if a paid-tier user violates manifest rules after approval. The following mechanisms enforce ongoing compliance:</w:t>
      </w:r>
    </w:p>
    <w:p>
      <w:pPr>
        <w:pStyle w:val="ListParagraph"/>
        <w:numPr>
          <w:ilvl w:val="0"/>
          <w:numId w:val="7"/>
        </w:numPr>
        <w:spacing w:after="60"/>
      </w:pPr>
      <w:r>
        <w:rPr>
          <w:rFonts w:ascii="Arial" w:cs="Arial" w:eastAsia="Arial" w:hAnsi="Arial"/>
          <w:sz w:val="22"/>
          <w:szCs w:val="22"/>
        </w:rPr>
        <w:t xml:space="preserve">Usage pattern monitoring: The api_key_usage table tracks per-endpoint call volumes. Abnormal patterns (such as bulk data extraction attempts or volumes far exceeding the stated use case) trigger a manual review.</w:t>
      </w:r>
    </w:p>
    <w:p>
      <w:pPr>
        <w:pStyle w:val="ListParagraph"/>
        <w:numPr>
          <w:ilvl w:val="0"/>
          <w:numId w:val="7"/>
        </w:numPr>
        <w:spacing w:after="60"/>
      </w:pPr>
      <w:r>
        <w:rPr>
          <w:rFonts w:ascii="Arial" w:cs="Arial" w:eastAsia="Arial" w:hAnsi="Arial"/>
          <w:sz w:val="22"/>
          <w:szCs w:val="22"/>
        </w:rPr>
        <w:t xml:space="preserve">Periodic compliance check: For embedding platforms (R13), SageReasoning may request a periodic demonstration that output is framed as reasoning quality assessment, not subject-matter assessment.</w:t>
      </w:r>
    </w:p>
    <w:p>
      <w:pPr>
        <w:pStyle w:val="ListParagraph"/>
        <w:numPr>
          <w:ilvl w:val="0"/>
          <w:numId w:val="7"/>
        </w:numPr>
        <w:spacing w:after="60"/>
      </w:pPr>
      <w:r>
        <w:rPr>
          <w:rFonts w:ascii="Arial" w:cs="Arial" w:eastAsia="Arial" w:hAnsi="Arial"/>
          <w:sz w:val="22"/>
          <w:szCs w:val="22"/>
        </w:rPr>
        <w:t xml:space="preserve">Violation response: First violation triggers a warning email with 14 days to remedy. Second violation or failure to remedy results in API key suspension. The applicant may appeal by email.</w:t>
      </w:r>
    </w:p>
    <w:p>
      <w:pPr>
        <w:pStyle w:val="ListParagraph"/>
        <w:numPr>
          <w:ilvl w:val="0"/>
          <w:numId w:val="7"/>
        </w:numPr>
        <w:spacing w:after="60"/>
      </w:pPr>
      <w:r>
        <w:rPr>
          <w:rFonts w:ascii="Arial" w:cs="Arial" w:eastAsia="Arial" w:hAnsi="Arial"/>
          <w:sz w:val="22"/>
          <w:szCs w:val="22"/>
        </w:rPr>
        <w:t xml:space="preserve">Annual renewal: Paid-tier access is reviewed annually. The renewal process is lightweight (confirm use case is unchanged, update contact details) unless usage patterns have triggered flags.</w:t>
      </w:r>
    </w:p>
    <w:p>
      <w:pPr>
        <w:pStyle w:val="Heading1"/>
      </w:pPr>
      <w:r>
        <w:rPr>
          <w:rFonts w:ascii="Arial" w:cs="Arial" w:eastAsia="Arial" w:hAnsi="Arial"/>
        </w:rPr>
        <w:t xml:space="preserve">7. Enterprise and Embedding Platform Reviews</w:t>
      </w:r>
    </w:p>
    <w:p>
      <w:pPr>
        <w:spacing w:after="120"/>
      </w:pPr>
      <w:r>
        <w:rPr>
          <w:rFonts w:ascii="Arial" w:cs="Arial" w:eastAsia="Arial" w:hAnsi="Arial"/>
          <w:sz w:val="22"/>
          <w:szCs w:val="22"/>
        </w:rPr>
        <w:t xml:space="preserve">Enterprise self-hosted deployments and embedding platform agreements involve additional review steps beyond the standard paid-tier process:</w:t>
      </w:r>
    </w:p>
    <w:p>
      <w:pPr>
        <w:pStyle w:val="ListParagraph"/>
        <w:numPr>
          <w:ilvl w:val="0"/>
          <w:numId w:val="2"/>
        </w:numPr>
      </w:pPr>
      <w:r>
        <w:rPr>
          <w:rFonts w:ascii="Arial" w:cs="Arial" w:eastAsia="Arial" w:hAnsi="Arial"/>
          <w:sz w:val="22"/>
          <w:szCs w:val="22"/>
        </w:rPr>
        <w:t xml:space="preserve">A video call or written Q&amp;A session to discuss the deployment architecture and how SageReasoning output will be presented to end users.</w:t>
      </w:r>
    </w:p>
    <w:p>
      <w:pPr>
        <w:pStyle w:val="ListParagraph"/>
        <w:numPr>
          <w:ilvl w:val="0"/>
          <w:numId w:val="2"/>
        </w:numPr>
      </w:pPr>
      <w:r>
        <w:rPr>
          <w:rFonts w:ascii="Arial" w:cs="Arial" w:eastAsia="Arial" w:hAnsi="Arial"/>
          <w:sz w:val="22"/>
          <w:szCs w:val="22"/>
        </w:rPr>
        <w:t xml:space="preserve">For enterprise: execution of a formal licence agreement covering data handling, confidentiality of the full unredacted Stoic Brain files, and permitted use.</w:t>
      </w:r>
    </w:p>
    <w:p>
      <w:pPr>
        <w:pStyle w:val="ListParagraph"/>
        <w:numPr>
          <w:ilvl w:val="0"/>
          <w:numId w:val="2"/>
        </w:numPr>
      </w:pPr>
      <w:r>
        <w:rPr>
          <w:rFonts w:ascii="Arial" w:cs="Arial" w:eastAsia="Arial" w:hAnsi="Arial"/>
          <w:sz w:val="22"/>
          <w:szCs w:val="22"/>
        </w:rPr>
        <w:t xml:space="preserve">For embedding platforms: a signed embedding agreement committing to R1, R2, R3, R9, and R13 compliance, with SageReasoning’s right to audit output framing.</w:t>
      </w:r>
    </w:p>
    <w:p>
      <w:pPr>
        <w:pStyle w:val="ListParagraph"/>
        <w:numPr>
          <w:ilvl w:val="0"/>
          <w:numId w:val="2"/>
        </w:numPr>
      </w:pPr>
      <w:r>
        <w:rPr>
          <w:rFonts w:ascii="Arial" w:cs="Arial" w:eastAsia="Arial" w:hAnsi="Arial"/>
          <w:sz w:val="22"/>
          <w:szCs w:val="22"/>
        </w:rPr>
        <w:t xml:space="preserve">Enterprise and embedding reviews are handled directly by the founder (zeus@sagereasoning.com) and typically take 5–10 business days.</w:t>
      </w:r>
    </w:p>
    <w:p>
      <w:pPr>
        <w:pStyle w:val="Heading1"/>
      </w:pPr>
      <w:r>
        <w:rPr>
          <w:rFonts w:ascii="Arial" w:cs="Arial" w:eastAsia="Arial" w:hAnsi="Arial"/>
        </w:rPr>
        <w:t xml:space="preserve">8. Why This Process Exists</w:t>
      </w:r>
    </w:p>
    <w:p>
      <w:pPr>
        <w:spacing w:after="120"/>
      </w:pPr>
      <w:r>
        <w:rPr>
          <w:rFonts w:ascii="Arial" w:cs="Arial" w:eastAsia="Arial" w:hAnsi="Arial"/>
          <w:sz w:val="22"/>
          <w:szCs w:val="22"/>
        </w:rPr>
        <w:t xml:space="preserve">SageReasoning’s value comes from the integrity of its reasoning frameworks. If the full engine is used for therapy, employment screening, or outcome promises, it undermines both the philosophical foundation and the brand. If the proprietary evaluation sequences are extracted and reproduced, it eliminates the competitive moat entirely.</w:t>
      </w:r>
    </w:p>
    <w:p>
      <w:pPr>
        <w:spacing w:after="120"/>
      </w:pPr>
      <w:r>
        <w:rPr>
          <w:rFonts w:ascii="Arial" w:cs="Arial" w:eastAsia="Arial" w:hAnsi="Arial"/>
          <w:sz w:val="22"/>
          <w:szCs w:val="22"/>
        </w:rPr>
        <w:t xml:space="preserve">The application review is a lightweight but meaningful check. It takes 5 minutes for the applicant to complete and costs SageReasoning a small amount of time to review. In return, it ensures every paid-tier user has explicitly acknowledged the rules and described a compliant use case before receiving access to the most valuable parts of the engine.</w:t>
      </w:r>
    </w:p>
    <w:p>
      <w:pPr>
        <w:spacing w:after="120"/>
      </w:pPr>
      <w:r>
        <w:rPr>
          <w:rFonts w:ascii="Arial" w:cs="Arial" w:eastAsia="Arial" w:hAnsi="Arial"/>
          <w:sz w:val="22"/>
          <w:szCs w:val="22"/>
        </w:rPr>
        <w:t xml:space="preserve">For free-tier users and public endpoint consumers, there is no gatekeeping at all. The review only applies when someone wants production-level access to the proprietary scoring engine.</w:t>
      </w:r>
    </w:p>
    <w:p>
      <w:pPr>
        <w:pStyle w:val="Heading1"/>
      </w:pPr>
      <w:r>
        <w:rPr>
          <w:rFonts w:ascii="Arial" w:cs="Arial" w:eastAsia="Arial" w:hAnsi="Arial"/>
        </w:rPr>
        <w:t xml:space="preserve">9. Implementation Checklist</w:t>
      </w:r>
    </w:p>
    <w:p>
      <w:pPr>
        <w:spacing w:after="120"/>
      </w:pPr>
      <w:r>
        <w:rPr>
          <w:rFonts w:ascii="Arial" w:cs="Arial" w:eastAsia="Arial" w:hAnsi="Arial"/>
          <w:sz w:val="22"/>
          <w:szCs w:val="22"/>
        </w:rPr>
        <w:t xml:space="preserve">The following items are needed to make this process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web form at sagereasoning.com/apply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template: application acknowledgment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template: approved (with welcome pack)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template: conditionally approved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template: declined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table: applications (store submissions)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 review queue for submitted applications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integration: paid key provisioning on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(blocked by Stripe setup)</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User-facing Terms of Service (formal legal document)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 monitoring alerts (abnormal pattern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(post-launch)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Not started</w:t>
            </w:r>
          </w:p>
        </w:tc>
      </w:tr>
    </w:tbl>
    <w:p>
      <w:pPr>
        <w:spacing w:after="200"/>
      </w:pPr>
    </w:p>
    <w:p>
      <w:pPr>
        <w:spacing w:after="120"/>
      </w:pPr>
      <w:r>
        <w:rPr>
          <w:rFonts w:ascii="Arial" w:cs="Arial" w:eastAsia="Arial" w:hAnsi="Arial"/>
          <w:i/>
          <w:iCs/>
          <w:color w:val="666666"/>
          <w:sz w:val="22"/>
          <w:szCs w:val="22"/>
        </w:rPr>
        <w:t xml:space="preserve">Note: The formal Terms of Service is listed here as a dependency. While this document defines the review process, a user-facing Terms of Service that applicants agree to at signup remains a separate deliverable that should be created before the application form goes live.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SageReasoning.com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pPr>
    <w:r>
      <w:rPr>
        <w:rFonts w:ascii="Arial" w:cs="Arial" w:eastAsia="Arial" w:hAnsi="Arial"/>
        <w:i/>
        <w:iCs/>
        <w:color w:val="888888"/>
        <w:sz w:val="18"/>
        <w:szCs w:val="18"/>
      </w:rPr>
      <w:t xml:space="preserve">SageReasoning — Application Review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D7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2026-04-03T05:06:02.526Z</dcterms:created>
  <dcterms:modified xsi:type="dcterms:W3CDTF">2026-04-03T05:06:02.526Z</dcterms:modified>
</cp:coreProperties>
</file>

<file path=docProps/custom.xml><?xml version="1.0" encoding="utf-8"?>
<Properties xmlns="http://schemas.openxmlformats.org/officeDocument/2006/custom-properties" xmlns:vt="http://schemas.openxmlformats.org/officeDocument/2006/docPropsVTypes"/>
</file>