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80" w:before="480"/>
        <w:jc w:val="center"/>
      </w:pPr>
      <w:r>
        <w:rPr>
          <w:rFonts w:ascii="Arial" w:cs="Arial" w:eastAsia="Arial" w:hAnsi="Arial"/>
          <w:b/>
          <w:bCs/>
          <w:color w:val="2E6B4F"/>
          <w:sz w:val="52"/>
          <w:szCs w:val="52"/>
        </w:rPr>
        <w:t xml:space="preserve">SageReasoning</w:t>
      </w:r>
    </w:p>
    <w:p>
      <w:pPr>
        <w:spacing w:after="80" w:before="0"/>
        <w:jc w:val="center"/>
      </w:pPr>
      <w:r>
        <w:rPr>
          <w:rFonts w:ascii="Arial" w:cs="Arial" w:eastAsia="Arial" w:hAnsi="Arial"/>
          <w:color w:val="A67C3B"/>
          <w:sz w:val="36"/>
          <w:szCs w:val="36"/>
        </w:rPr>
        <w:t xml:space="preserve">Priority 5: Local Data Storage Strategy</w:t>
      </w:r>
    </w:p>
    <w:p>
      <w:pPr>
        <w:spacing w:after="40" w:before="40"/>
        <w:jc w:val="center"/>
      </w:pPr>
      <w:r>
        <w:rPr>
          <w:rFonts w:ascii="Arial" w:cs="Arial" w:eastAsia="Arial" w:hAnsi="Arial"/>
          <w:i/>
          <w:iCs/>
          <w:color w:val="555555"/>
          <w:sz w:val="24"/>
          <w:szCs w:val="24"/>
        </w:rPr>
        <w:t xml:space="preserve">Protecting user privacy while preserving full functionality</w:t>
      </w:r>
    </w:p>
    <w:p>
      <w:pPr>
        <w:pBdr>
          <w:bottom w:val="single" w:color="2E6B4F" w:sz="4" w:space="1"/>
        </w:pBdr>
        <w:spacing w:after="160" w:before="160"/>
      </w:pPr>
      <w:r>
        <w:t xml:space="preserve"/>
      </w:r>
    </w:p>
    <w:p>
      <w:pPr>
        <w:spacing w:after="240" w:before="40"/>
        <w:jc w:val="center"/>
      </w:pPr>
      <w:r>
        <w:rPr>
          <w:rFonts w:ascii="Arial" w:cs="Arial" w:eastAsia="Arial" w:hAnsi="Arial"/>
          <w:color w:val="888888"/>
          <w:sz w:val="20"/>
          <w:szCs w:val="20"/>
        </w:rPr>
        <w:t xml:space="preserve">March 2026  |  Clinton Aitkenhead</w:t>
      </w:r>
    </w:p>
    <w:p>
      <w:pPr>
        <w:pStyle w:val="Heading1"/>
        <w:spacing w:after="160" w:before="360"/>
      </w:pPr>
      <w:r>
        <w:rPr>
          <w:rFonts w:ascii="Arial" w:cs="Arial" w:eastAsia="Arial" w:hAnsi="Arial"/>
          <w:b/>
          <w:bCs/>
          <w:color w:val="2E6B4F"/>
          <w:sz w:val="36"/>
          <w:szCs w:val="36"/>
        </w:rPr>
        <w:t xml:space="preserve">1. Executive Summary</w:t>
      </w:r>
    </w:p>
    <w:p>
      <w:pPr>
        <w:spacing w:after="120" w:before="80"/>
      </w:pPr>
      <w:r>
        <w:rPr>
          <w:rFonts w:ascii="Arial" w:cs="Arial" w:eastAsia="Arial" w:hAnsi="Arial"/>
          <w:sz w:val="22"/>
          <w:szCs w:val="22"/>
        </w:rPr>
        <w:t xml:space="preserve">SageReasoning asks users to share some of the most personal and vulnerable information imaginable — their doubts, moral failures, mental health struggles, and innermost reflections. This places an ethical obligation on the platform that goes beyond legal compliance: users must genuinely feel safe.</w:t>
      </w:r>
    </w:p>
    <w:p>
      <w:pPr>
        <w:spacing w:after="120" w:before="80"/>
      </w:pPr>
      <w:r>
        <w:rPr>
          <w:rFonts w:ascii="Arial" w:cs="Arial" w:eastAsia="Arial" w:hAnsi="Arial"/>
          <w:sz w:val="22"/>
          <w:szCs w:val="22"/>
        </w:rPr>
        <w:t xml:space="preserve">The good news is that the Journal service already has a working local storage model that users can choose at setup. This report extends that same principle to every sensitive service on the platform, provides a clear priority order, and describes exactly how local storage can be implemented without sacrificing functionality.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5F0" w:val="clear"/>
            <w:tcMar>
              <w:top w:type="dxa" w:w="120"/>
              <w:left w:type="dxa" w:w="200"/>
              <w:bottom w:type="dxa" w:w="120"/>
              <w:right w:type="dxa" w:w="200"/>
            </w:tcMar>
          </w:tcPr>
          <w:p>
            <w:pPr>
              <w:spacing w:after="60" w:before="0"/>
            </w:pPr>
            <w:r>
              <w:rPr>
                <w:rFonts w:ascii="Arial" w:cs="Arial" w:eastAsia="Arial" w:hAnsi="Arial"/>
                <w:b/>
                <w:bCs/>
                <w:color w:val="1A2B1A"/>
                <w:sz w:val="22"/>
                <w:szCs w:val="22"/>
              </w:rPr>
              <w:t xml:space="preserve">Key Finding</w:t>
            </w:r>
          </w:p>
          <w:p>
            <w:pPr>
              <w:spacing w:after="0" w:before="0"/>
            </w:pPr>
            <w:r>
              <w:rPr>
                <w:rFonts w:ascii="Arial" w:cs="Arial" w:eastAsia="Arial" w:hAnsi="Arial"/>
                <w:color w:val="1A2B1A"/>
                <w:sz w:val="22"/>
                <w:szCs w:val="22"/>
              </w:rPr>
              <w:t xml:space="preserve">Of the eight services on the platform, two are critically sensitive (Journal, Therapy), two are highly sensitive (Score Action, Baseline Assessment), and two are moderately sensitive (Score Social, Score Document). Only Scenarios and the Dashboard present low privacy risk. The Journal already has a local option. All others need one.</w:t>
            </w:r>
          </w:p>
        </w:tc>
      </w:tr>
    </w:tbl>
    <w:p>
      <w:pPr>
        <w:spacing w:after="120" w:before="0"/>
      </w:pPr>
      <w:r>
        <w:t xml:space="preserve"/>
      </w:r>
    </w:p>
    <w:p>
      <w:pPr>
        <w:pStyle w:val="Heading1"/>
        <w:spacing w:after="160" w:before="360"/>
      </w:pPr>
      <w:r>
        <w:rPr>
          <w:rFonts w:ascii="Arial" w:cs="Arial" w:eastAsia="Arial" w:hAnsi="Arial"/>
          <w:b/>
          <w:bCs/>
          <w:color w:val="2E6B4F"/>
          <w:sz w:val="36"/>
          <w:szCs w:val="36"/>
        </w:rPr>
        <w:t xml:space="preserve">2. Why Local Storage Matters for SageReasoning</w:t>
      </w:r>
    </w:p>
    <w:p>
      <w:pPr>
        <w:spacing w:after="120" w:before="80"/>
      </w:pPr>
      <w:r>
        <w:rPr>
          <w:rFonts w:ascii="Arial" w:cs="Arial" w:eastAsia="Arial" w:hAnsi="Arial"/>
          <w:sz w:val="22"/>
          <w:szCs w:val="22"/>
        </w:rPr>
        <w:t xml:space="preserve">There are three reasons local storage is especially important for this platform, each rooted in Stoic principles as much as practical business logic.</w:t>
      </w:r>
    </w:p>
    <w:p>
      <w:pPr>
        <w:pStyle w:val="Heading3"/>
        <w:spacing w:after="80" w:before="200"/>
      </w:pPr>
      <w:r>
        <w:rPr>
          <w:rFonts w:ascii="Arial" w:cs="Arial" w:eastAsia="Arial" w:hAnsi="Arial"/>
          <w:b/>
          <w:bCs/>
          <w:color w:val="2E6B4F"/>
          <w:sz w:val="24"/>
          <w:szCs w:val="24"/>
        </w:rPr>
        <w:t xml:space="preserve">2.1  Trust as a Virtue</w:t>
      </w:r>
    </w:p>
    <w:p>
      <w:pPr>
        <w:spacing w:after="120" w:before="80"/>
      </w:pPr>
      <w:r>
        <w:rPr>
          <w:rFonts w:ascii="Arial" w:cs="Arial" w:eastAsia="Arial" w:hAnsi="Arial"/>
          <w:sz w:val="22"/>
          <w:szCs w:val="22"/>
        </w:rPr>
        <w:t xml:space="preserve">Stoicism holds that just action includes acting in a way that does not exploit others’ trust. Storing users’ most vulnerable reflections on a cloud server they do not control — and which could in theory be accessed, breached, or subpoenaed — is a trust imposition users have not consciously agreed to. Offering a genuinely local option aligns the platform’s conduct with its own values.</w:t>
      </w:r>
    </w:p>
    <w:p>
      <w:pPr>
        <w:pStyle w:val="Heading3"/>
        <w:spacing w:after="80" w:before="200"/>
      </w:pPr>
      <w:r>
        <w:rPr>
          <w:rFonts w:ascii="Arial" w:cs="Arial" w:eastAsia="Arial" w:hAnsi="Arial"/>
          <w:b/>
          <w:bCs/>
          <w:color w:val="2E6B4F"/>
          <w:sz w:val="24"/>
          <w:szCs w:val="24"/>
        </w:rPr>
        <w:t xml:space="preserve">2.2  Research Shows Users Want It</w:t>
      </w:r>
    </w:p>
    <w:p>
      <w:pPr>
        <w:spacing w:after="120" w:before="80"/>
      </w:pPr>
      <w:r>
        <w:rPr>
          <w:rFonts w:ascii="Arial" w:cs="Arial" w:eastAsia="Arial" w:hAnsi="Arial"/>
          <w:sz w:val="22"/>
          <w:szCs w:val="22"/>
        </w:rPr>
        <w:t xml:space="preserve">Multiple research studies on mental health apps show that the primary barrier to adoption is privacy concern. Users are unwilling to share sensitive personal information without a clear assurance that it cannot be accessed by others. Apps that offer transparent local storage options see higher engagement and longer retention, particularly among people dealing with sensitive topics like anxiety, grief, and self-worth — precisely the Therapy service focus areas.</w:t>
      </w:r>
    </w:p>
    <w:p>
      <w:pPr>
        <w:pStyle w:val="Heading3"/>
        <w:spacing w:after="80" w:before="200"/>
      </w:pPr>
      <w:r>
        <w:rPr>
          <w:rFonts w:ascii="Arial" w:cs="Arial" w:eastAsia="Arial" w:hAnsi="Arial"/>
          <w:b/>
          <w:bCs/>
          <w:color w:val="2E6B4F"/>
          <w:sz w:val="24"/>
          <w:szCs w:val="24"/>
        </w:rPr>
        <w:t xml:space="preserve">2.3  Competitive Differentiation</w:t>
      </w:r>
    </w:p>
    <w:p>
      <w:pPr>
        <w:spacing w:after="120" w:before="80"/>
      </w:pPr>
      <w:r>
        <w:rPr>
          <w:rFonts w:ascii="Arial" w:cs="Arial" w:eastAsia="Arial" w:hAnsi="Arial"/>
          <w:sz w:val="22"/>
          <w:szCs w:val="22"/>
        </w:rPr>
        <w:t xml:space="preserve">The vast majority of journaling and personal development apps store everything in the cloud by default. Being a platform that genuinely gives users control is a meaningful point of difference, and it is one that is consistent with Stoic virtue rather than requiring a compromise of it.</w:t>
      </w:r>
    </w:p>
    <w:p>
      <w:pPr>
        <w:spacing w:after="120" w:before="0"/>
      </w:pPr>
      <w:r>
        <w:t xml:space="preserve"/>
      </w:r>
    </w:p>
    <w:p>
      <w:pPr>
        <w:pStyle w:val="Heading1"/>
        <w:spacing w:after="160" w:before="360"/>
      </w:pPr>
      <w:r>
        <w:rPr>
          <w:rFonts w:ascii="Arial" w:cs="Arial" w:eastAsia="Arial" w:hAnsi="Arial"/>
          <w:b/>
          <w:bCs/>
          <w:color w:val="2E6B4F"/>
          <w:sz w:val="36"/>
          <w:szCs w:val="36"/>
        </w:rPr>
        <w:t xml:space="preserve">3. Service-by-Service Sensitivity Audit</w:t>
      </w:r>
    </w:p>
    <w:p>
      <w:pPr>
        <w:spacing w:after="120" w:before="80"/>
      </w:pPr>
      <w:r>
        <w:rPr>
          <w:rFonts w:ascii="Arial" w:cs="Arial" w:eastAsia="Arial" w:hAnsi="Arial"/>
          <w:sz w:val="22"/>
          <w:szCs w:val="22"/>
        </w:rPr>
        <w:t xml:space="preserve">The table below classifies each service by the sensitivity of the data it handles and whether a local storage option currently exists.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1500"/>
        <w:gridCol w:w="1260"/>
      </w:tblGrid>
      <w:tr>
        <w:trPr>
          <w:tblHeader/>
        </w:trPr>
        <w:tc>
          <w:tcPr>
            <w:tcW w:type="dxa" w:w="30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Service</w:t>
            </w:r>
          </w:p>
        </w:tc>
        <w:tc>
          <w:tcPr>
            <w:tcW w:type="dxa" w:w="36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Data Collected</w:t>
            </w:r>
          </w:p>
        </w:tc>
        <w:tc>
          <w:tcPr>
            <w:tcW w:type="dxa" w:w="15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Sensitivity</w:t>
            </w:r>
          </w:p>
        </w:tc>
        <w:tc>
          <w:tcPr>
            <w:tcW w:type="dxa" w:w="12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Local Option?</w:t>
            </w:r>
          </w:p>
        </w:tc>
      </w:tr>
      <w:tr>
        <w:tc>
          <w:tcPr>
            <w:tcW w:type="dxa" w:w="30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b/>
                <w:bCs/>
                <w:color w:val="1A2B1A"/>
                <w:sz w:val="20"/>
                <w:szCs w:val="20"/>
              </w:rPr>
              <w:t xml:space="preserve">Journal</w:t>
            </w:r>
          </w:p>
        </w:tc>
        <w:tc>
          <w:tcPr>
            <w:tcW w:type="dxa" w:w="36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b w:val="false"/>
                <w:bCs w:val="false"/>
                <w:color w:val="1A2B1A"/>
                <w:sz w:val="20"/>
                <w:szCs w:val="20"/>
              </w:rPr>
              <w:t xml:space="preserve">Personal daily reflections, innermost thoughts, emotional state</w:t>
            </w:r>
          </w:p>
        </w:tc>
        <w:tc>
          <w:tcPr>
            <w:tcW w:type="dxa" w:w="15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b w:val="false"/>
                <w:bCs w:val="false"/>
                <w:color w:val="8B2020"/>
                <w:sz w:val="20"/>
                <w:szCs w:val="20"/>
              </w:rPr>
              <w:t xml:space="preserve">CRITICAL</w:t>
            </w:r>
          </w:p>
        </w:tc>
        <w:tc>
          <w:tcPr>
            <w:tcW w:type="dxa" w:w="126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b w:val="false"/>
                <w:bCs w:val="false"/>
                <w:color w:val="1A2B1A"/>
                <w:sz w:val="20"/>
                <w:szCs w:val="20"/>
              </w:rPr>
              <w:t xml:space="preserve">Yes — already done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1A"/>
                <w:sz w:val="20"/>
                <w:szCs w:val="20"/>
              </w:rPr>
              <w:t xml:space="preserve">Stoic Therapy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1A"/>
                <w:sz w:val="20"/>
                <w:szCs w:val="20"/>
              </w:rPr>
              <w:t xml:space="preserve">Mental health focus (anxiety, grief, anger), personal written responses to exercises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2020"/>
                <w:sz w:val="20"/>
                <w:szCs w:val="20"/>
              </w:rPr>
              <w:t xml:space="preserve">CRITICAL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1A"/>
                <w:sz w:val="20"/>
                <w:szCs w:val="20"/>
              </w:rPr>
              <w:t xml:space="preserve">No — needed urgently</w:t>
            </w:r>
          </w:p>
        </w:tc>
      </w:tr>
      <w:tr>
        <w:tc>
          <w:tcPr>
            <w:tcW w:type="dxa" w:w="30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b/>
                <w:bCs/>
                <w:color w:val="1A2B1A"/>
                <w:sz w:val="20"/>
                <w:szCs w:val="20"/>
              </w:rPr>
              <w:t xml:space="preserve">Score Action</w:t>
            </w:r>
          </w:p>
        </w:tc>
        <w:tc>
          <w:tcPr>
            <w:tcW w:type="dxa" w:w="36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b w:val="false"/>
                <w:bCs w:val="false"/>
                <w:color w:val="1A2B1A"/>
                <w:sz w:val="20"/>
                <w:szCs w:val="20"/>
              </w:rPr>
              <w:t xml:space="preserve">Descriptions of real personal decisions, context, intended outcomes, past behaviour</w:t>
            </w:r>
          </w:p>
        </w:tc>
        <w:tc>
          <w:tcPr>
            <w:tcW w:type="dxa" w:w="15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b w:val="false"/>
                <w:bCs w:val="false"/>
                <w:color w:val="A65C00"/>
                <w:sz w:val="20"/>
                <w:szCs w:val="20"/>
              </w:rPr>
              <w:t xml:space="preserve">HIGH</w:t>
            </w:r>
          </w:p>
        </w:tc>
        <w:tc>
          <w:tcPr>
            <w:tcW w:type="dxa" w:w="126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b w:val="false"/>
                <w:bCs w:val="false"/>
                <w:color w:val="1A2B1A"/>
                <w:sz w:val="20"/>
                <w:szCs w:val="20"/>
              </w:rPr>
              <w:t xml:space="preserve">No —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1A"/>
                <w:sz w:val="20"/>
                <w:szCs w:val="20"/>
              </w:rPr>
              <w:t xml:space="preserve">Baseline Assessment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1A"/>
                <w:sz w:val="20"/>
                <w:szCs w:val="20"/>
              </w:rPr>
              <w:t xml:space="preserve">Answers revealing personal virtue gaps, psychological tendencies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65C00"/>
                <w:sz w:val="20"/>
                <w:szCs w:val="20"/>
              </w:rPr>
              <w:t xml:space="preserve">MEDIUM-HIGH</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1A"/>
                <w:sz w:val="20"/>
                <w:szCs w:val="20"/>
              </w:rPr>
              <w:t xml:space="preserve">No — recommended</w:t>
            </w:r>
          </w:p>
        </w:tc>
      </w:tr>
      <w:tr>
        <w:tc>
          <w:tcPr>
            <w:tcW w:type="dxa" w:w="30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b/>
                <w:bCs/>
                <w:color w:val="1A2B1A"/>
                <w:sz w:val="20"/>
                <w:szCs w:val="20"/>
              </w:rPr>
              <w:t xml:space="preserve">Score Social</w:t>
            </w:r>
          </w:p>
        </w:tc>
        <w:tc>
          <w:tcPr>
            <w:tcW w:type="dxa" w:w="36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b w:val="false"/>
                <w:bCs w:val="false"/>
                <w:color w:val="1A2B1A"/>
                <w:sz w:val="20"/>
                <w:szCs w:val="20"/>
              </w:rPr>
              <w:t xml:space="preserve">Draft social media posts, opinions, personal context about why posting</w:t>
            </w:r>
          </w:p>
        </w:tc>
        <w:tc>
          <w:tcPr>
            <w:tcW w:type="dxa" w:w="15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b w:val="false"/>
                <w:bCs w:val="false"/>
                <w:color w:val="1B5E6B"/>
                <w:sz w:val="20"/>
                <w:szCs w:val="20"/>
              </w:rPr>
              <w:t xml:space="preserve">MEDIUM</w:t>
            </w:r>
          </w:p>
        </w:tc>
        <w:tc>
          <w:tcPr>
            <w:tcW w:type="dxa" w:w="126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b w:val="false"/>
                <w:bCs w:val="false"/>
                <w:color w:val="1A2B1A"/>
                <w:sz w:val="20"/>
                <w:szCs w:val="20"/>
              </w:rPr>
              <w:t xml:space="preserve">No — recommended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1A"/>
                <w:sz w:val="20"/>
                <w:szCs w:val="20"/>
              </w:rPr>
              <w:t xml:space="preserve">Score Document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1A"/>
                <w:sz w:val="20"/>
                <w:szCs w:val="20"/>
              </w:rPr>
              <w:t xml:space="preserve">User-pasted text (could be personal writing, business docs)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5E6B"/>
                <w:sz w:val="20"/>
                <w:szCs w:val="20"/>
              </w:rPr>
              <w:t xml:space="preserve">MEDIUM</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1A"/>
                <w:sz w:val="20"/>
                <w:szCs w:val="20"/>
              </w:rPr>
              <w:t xml:space="preserve">No — optional</w:t>
            </w:r>
          </w:p>
        </w:tc>
      </w:tr>
      <w:tr>
        <w:tc>
          <w:tcPr>
            <w:tcW w:type="dxa" w:w="30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b/>
                <w:bCs/>
                <w:color w:val="1A2B1A"/>
                <w:sz w:val="20"/>
                <w:szCs w:val="20"/>
              </w:rPr>
              <w:t xml:space="preserve">Scenarios</w:t>
            </w:r>
          </w:p>
        </w:tc>
        <w:tc>
          <w:tcPr>
            <w:tcW w:type="dxa" w:w="36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b w:val="false"/>
                <w:bCs w:val="false"/>
                <w:color w:val="1A2B1A"/>
                <w:sz w:val="20"/>
                <w:szCs w:val="20"/>
              </w:rPr>
              <w:t xml:space="preserve">Scenario choices for age group selected — not personally identifying</w:t>
            </w:r>
          </w:p>
        </w:tc>
        <w:tc>
          <w:tcPr>
            <w:tcW w:type="dxa" w:w="15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b w:val="false"/>
                <w:bCs w:val="false"/>
                <w:color w:val="1B5E6B"/>
                <w:sz w:val="20"/>
                <w:szCs w:val="20"/>
              </w:rPr>
              <w:t xml:space="preserve">LOW</w:t>
            </w:r>
          </w:p>
        </w:tc>
        <w:tc>
          <w:tcPr>
            <w:tcW w:type="dxa" w:w="126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b w:val="false"/>
                <w:bCs w:val="false"/>
                <w:color w:val="1A2B1A"/>
                <w:sz w:val="20"/>
                <w:szCs w:val="20"/>
              </w:rPr>
              <w:t xml:space="preserve">Not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1A"/>
                <w:sz w:val="20"/>
                <w:szCs w:val="20"/>
              </w:rPr>
              <w:t xml:space="preserve">Dashboard / Profile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1A"/>
                <w:sz w:val="20"/>
                <w:szCs w:val="20"/>
              </w:rPr>
              <w:t xml:space="preserve">Aggregated virtue scores derived from the above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5E6B"/>
                <w:sz w:val="20"/>
                <w:szCs w:val="20"/>
              </w:rPr>
              <w:t xml:space="preserve">LOW</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1A"/>
                <w:sz w:val="20"/>
                <w:szCs w:val="20"/>
              </w:rPr>
              <w:t xml:space="preserve">Auto-follows other data</w:t>
            </w:r>
          </w:p>
        </w:tc>
      </w:tr>
    </w:tbl>
    <w:p>
      <w:pPr>
        <w:spacing w:after="120" w:before="0"/>
      </w:pPr>
      <w:r>
        <w:t xml:space="preserve"/>
      </w:r>
    </w:p>
    <w:p>
      <w:pPr>
        <w:pStyle w:val="Heading1"/>
        <w:spacing w:after="160" w:before="360"/>
      </w:pPr>
      <w:r>
        <w:rPr>
          <w:rFonts w:ascii="Arial" w:cs="Arial" w:eastAsia="Arial" w:hAnsi="Arial"/>
          <w:b/>
          <w:bCs/>
          <w:color w:val="2E6B4F"/>
          <w:sz w:val="36"/>
          <w:szCs w:val="36"/>
        </w:rPr>
        <w:t xml:space="preserve">4. How Local Storage Works in a Web Browser</w:t>
      </w:r>
    </w:p>
    <w:p>
      <w:pPr>
        <w:spacing w:after="120" w:before="80"/>
      </w:pPr>
      <w:r>
        <w:rPr>
          <w:rFonts w:ascii="Arial" w:cs="Arial" w:eastAsia="Arial" w:hAnsi="Arial"/>
          <w:sz w:val="22"/>
          <w:szCs w:val="22"/>
        </w:rPr>
        <w:t xml:space="preserve">Users often assume that “local” means “private,” but not all browser storage is equal. The table below explains the available methods, from simplest to most secure.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500"/>
        <w:gridCol w:w="1860"/>
      </w:tblGrid>
      <w:tr>
        <w:trPr>
          <w:tblHeader/>
        </w:trPr>
        <w:tc>
          <w:tcPr>
            <w:tcW w:type="dxa" w:w="25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35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How It Works</w:t>
            </w:r>
          </w:p>
        </w:tc>
        <w:tc>
          <w:tcPr>
            <w:tcW w:type="dxa" w:w="15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Storage Limit</w:t>
            </w:r>
          </w:p>
        </w:tc>
        <w:tc>
          <w:tcPr>
            <w:tcW w:type="dxa" w:w="18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Best For</w:t>
            </w:r>
          </w:p>
        </w:tc>
      </w:tr>
      <w:tr>
        <w:tc>
          <w:tcPr>
            <w:tcW w:type="dxa" w:w="25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b/>
                <w:bCs/>
                <w:sz w:val="20"/>
                <w:szCs w:val="20"/>
              </w:rPr>
              <w:t xml:space="preserve">localStorage</w:t>
            </w:r>
          </w:p>
        </w:tc>
        <w:tc>
          <w:tcPr>
            <w:tcW w:type="dxa" w:w="35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b w:val="false"/>
                <w:bCs w:val="false"/>
                <w:sz w:val="20"/>
                <w:szCs w:val="20"/>
              </w:rPr>
              <w:t xml:space="preserve">Stores text as key-value pairs in the browser. Already in use for Journal.</w:t>
            </w:r>
          </w:p>
        </w:tc>
        <w:tc>
          <w:tcPr>
            <w:tcW w:type="dxa" w:w="15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b w:val="false"/>
                <w:bCs w:val="false"/>
                <w:sz w:val="20"/>
                <w:szCs w:val="20"/>
              </w:rPr>
              <w:t xml:space="preserve">5–10 MB</w:t>
            </w:r>
          </w:p>
        </w:tc>
        <w:tc>
          <w:tcPr>
            <w:tcW w:type="dxa" w:w="186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b w:val="false"/>
                <w:bCs w:val="false"/>
                <w:sz w:val="20"/>
                <w:szCs w:val="20"/>
              </w:rPr>
              <w:t xml:space="preserve">Preferences, small histories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IndexedDB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full database inside the browser. Stores structured records like scores, journal entries, therapy responses.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 MB+</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Action histories, therapy logs</w:t>
            </w:r>
          </w:p>
        </w:tc>
      </w:tr>
      <w:tr>
        <w:tc>
          <w:tcPr>
            <w:tcW w:type="dxa" w:w="25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b/>
                <w:bCs/>
                <w:sz w:val="20"/>
                <w:szCs w:val="20"/>
              </w:rPr>
              <w:t xml:space="preserve">Encrypted IndexedDB</w:t>
            </w:r>
          </w:p>
        </w:tc>
        <w:tc>
          <w:tcPr>
            <w:tcW w:type="dxa" w:w="35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b w:val="false"/>
                <w:bCs w:val="false"/>
                <w:sz w:val="20"/>
                <w:szCs w:val="20"/>
              </w:rPr>
              <w:t xml:space="preserve">Same as IndexedDB but data is encrypted using the browser's built-in Web Crypto API before being saved. Even if someone accesses the browser files, data is unreadable.</w:t>
            </w:r>
          </w:p>
        </w:tc>
        <w:tc>
          <w:tcPr>
            <w:tcW w:type="dxa" w:w="15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b w:val="false"/>
                <w:bCs w:val="false"/>
                <w:sz w:val="20"/>
                <w:szCs w:val="20"/>
              </w:rPr>
              <w:t xml:space="preserve">500 MB+</w:t>
            </w:r>
          </w:p>
        </w:tc>
        <w:tc>
          <w:tcPr>
            <w:tcW w:type="dxa" w:w="186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b w:val="false"/>
                <w:bCs w:val="false"/>
                <w:sz w:val="20"/>
                <w:szCs w:val="20"/>
              </w:rPr>
              <w:t xml:space="preserve">Therapy, journal — most sensitive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Export / Import file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can download all their local data as an encrypted file and re-import it later or on a new device.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Unlimited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Backup and portability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6" w:val="clear"/>
            <w:tcMar>
              <w:top w:type="dxa" w:w="120"/>
              <w:left w:type="dxa" w:w="200"/>
              <w:bottom w:type="dxa" w:w="120"/>
              <w:right w:type="dxa" w:w="200"/>
            </w:tcMar>
          </w:tcPr>
          <w:p>
            <w:pPr>
              <w:spacing w:after="60" w:before="0"/>
            </w:pPr>
            <w:r>
              <w:rPr>
                <w:rFonts w:ascii="Arial" w:cs="Arial" w:eastAsia="Arial" w:hAnsi="Arial"/>
                <w:b/>
                <w:bCs/>
                <w:color w:val="1A2B1A"/>
                <w:sz w:val="22"/>
                <w:szCs w:val="22"/>
              </w:rPr>
              <w:t xml:space="preserve">Important Nuance — The AI Still Needs to Process the Data</w:t>
            </w:r>
          </w:p>
          <w:p>
            <w:pPr>
              <w:spacing w:after="0" w:before="0"/>
            </w:pPr>
            <w:r>
              <w:rPr>
                <w:rFonts w:ascii="Arial" w:cs="Arial" w:eastAsia="Arial" w:hAnsi="Arial"/>
                <w:color w:val="1A2B1A"/>
                <w:sz w:val="22"/>
                <w:szCs w:val="22"/>
              </w:rPr>
              <w:t xml:space="preserve">When a user uses Therapy or Score Action, their text must be sent to the server so the AI can score it. "Local storage" in this context means: the data IS sent to score it, but the RESULT is stored only in the user's browser, not in the Supabase database. The user's original text never gets saved permanently on the server. This is exactly how the Journal works today when in local mode.</w:t>
            </w:r>
          </w:p>
        </w:tc>
      </w:tr>
    </w:tbl>
    <w:p>
      <w:pPr>
        <w:spacing w:after="120" w:before="0"/>
      </w:pPr>
      <w:r>
        <w:t xml:space="preserve"/>
      </w:r>
    </w:p>
    <w:p>
      <w:pPr>
        <w:pStyle w:val="Heading1"/>
        <w:spacing w:after="160" w:before="360"/>
      </w:pPr>
      <w:r>
        <w:rPr>
          <w:rFonts w:ascii="Arial" w:cs="Arial" w:eastAsia="Arial" w:hAnsi="Arial"/>
          <w:b/>
          <w:bCs/>
          <w:color w:val="2E6B4F"/>
          <w:sz w:val="36"/>
          <w:szCs w:val="36"/>
        </w:rPr>
        <w:t xml:space="preserve">5. Implementation Roadmap</w:t>
      </w:r>
    </w:p>
    <w:p>
      <w:pPr>
        <w:spacing w:after="120" w:before="80"/>
      </w:pPr>
      <w:r>
        <w:rPr>
          <w:rFonts w:ascii="Arial" w:cs="Arial" w:eastAsia="Arial" w:hAnsi="Arial"/>
          <w:sz w:val="22"/>
          <w:szCs w:val="22"/>
        </w:rPr>
        <w:t xml:space="preserve">The following is a prioritised sequence for a developer to work through. Each stage replicates the pattern already working in the Journal.</w:t>
      </w:r>
    </w:p>
    <w:p>
      <w:pPr>
        <w:pStyle w:val="Heading2"/>
        <w:spacing w:after="120" w:before="280"/>
      </w:pPr>
      <w:r>
        <w:rPr>
          <w:rFonts w:ascii="Arial" w:cs="Arial" w:eastAsia="Arial" w:hAnsi="Arial"/>
          <w:b/>
          <w:bCs/>
          <w:color w:val="1A2B1A"/>
          <w:sz w:val="28"/>
          <w:szCs w:val="28"/>
        </w:rPr>
        <w:t xml:space="preserve">Stage 1 — Therapy Service (Immediate Priority)</w:t>
      </w:r>
    </w:p>
    <w:p>
      <w:pPr>
        <w:spacing w:after="120" w:before="80"/>
      </w:pPr>
      <w:r>
        <w:rPr>
          <w:rFonts w:ascii="Arial" w:cs="Arial" w:eastAsia="Arial" w:hAnsi="Arial"/>
          <w:sz w:val="22"/>
          <w:szCs w:val="22"/>
        </w:rPr>
        <w:t xml:space="preserve">The Therapy service is the most sensitive on the platform. Users share mental health struggles and write personal responses to exercises. This should be the first service to receive a local storage option after the Journal.</w:t>
      </w:r>
    </w:p>
    <w:p>
      <w:pPr>
        <w:spacing w:after="120" w:before="80"/>
      </w:pPr>
      <w:r>
        <w:rPr>
          <w:rFonts w:ascii="Arial" w:cs="Arial" w:eastAsia="Arial" w:hAnsi="Arial"/>
          <w:sz w:val="22"/>
          <w:szCs w:val="22"/>
        </w:rPr>
        <w:t xml:space="preserve">What the developer needs to do:</w:t>
      </w:r>
    </w:p>
    <w:p>
      <w:pPr>
        <w:pStyle w:val="ListParagraph"/>
        <w:numPr>
          <w:ilvl w:val="0"/>
          <w:numId w:val="2"/>
        </w:numPr>
        <w:spacing w:after="40" w:before="40"/>
      </w:pPr>
      <w:r>
        <w:rPr>
          <w:rFonts w:ascii="Arial" w:cs="Arial" w:eastAsia="Arial" w:hAnsi="Arial"/>
          <w:sz w:val="22"/>
          <w:szCs w:val="22"/>
        </w:rPr>
        <w:t xml:space="preserve">Add a storage choice prompt at the start of the Therapy page, identical to the Journal setup screen (Cloud or Local).</w:t>
      </w:r>
    </w:p>
    <w:p>
      <w:pPr>
        <w:pStyle w:val="ListParagraph"/>
        <w:numPr>
          <w:ilvl w:val="0"/>
          <w:numId w:val="2"/>
        </w:numPr>
        <w:spacing w:after="40" w:before="40"/>
      </w:pPr>
      <w:r>
        <w:rPr>
          <w:rFonts w:ascii="Arial" w:cs="Arial" w:eastAsia="Arial" w:hAnsi="Arial"/>
          <w:sz w:val="22"/>
          <w:szCs w:val="22"/>
        </w:rPr>
        <w:t xml:space="preserve">If the user chooses Local: send the exercise response to the server for AI scoring as normal, but instead of saving the result to Supabase, save it to browser IndexedDB under the user's ID.</w:t>
      </w:r>
    </w:p>
    <w:p>
      <w:pPr>
        <w:pStyle w:val="ListParagraph"/>
        <w:numPr>
          <w:ilvl w:val="0"/>
          <w:numId w:val="2"/>
        </w:numPr>
        <w:spacing w:after="40" w:before="40"/>
      </w:pPr>
      <w:r>
        <w:rPr>
          <w:rFonts w:ascii="Arial" w:cs="Arial" w:eastAsia="Arial" w:hAnsi="Arial"/>
          <w:sz w:val="22"/>
          <w:szCs w:val="22"/>
        </w:rPr>
        <w:t xml:space="preserve">Display past therapy sessions from IndexedDB when in local mode.</w:t>
      </w:r>
    </w:p>
    <w:p>
      <w:pPr>
        <w:pStyle w:val="ListParagraph"/>
        <w:numPr>
          <w:ilvl w:val="0"/>
          <w:numId w:val="2"/>
        </w:numPr>
        <w:spacing w:after="40" w:before="40"/>
      </w:pPr>
      <w:r>
        <w:rPr>
          <w:rFonts w:ascii="Arial" w:cs="Arial" w:eastAsia="Arial" w:hAnsi="Arial"/>
          <w:sz w:val="22"/>
          <w:szCs w:val="22"/>
        </w:rPr>
        <w:t xml:space="preserve">Add a clear notice on the page confirming which mode is active.</w:t>
      </w:r>
    </w:p>
    <w:p>
      <w:pPr>
        <w:spacing w:after="120" w:before="0"/>
      </w:pPr>
      <w:r>
        <w:t xml:space="preserve"/>
      </w:r>
    </w:p>
    <w:p>
      <w:pPr>
        <w:pStyle w:val="Heading2"/>
        <w:spacing w:after="120" w:before="280"/>
      </w:pPr>
      <w:r>
        <w:rPr>
          <w:rFonts w:ascii="Arial" w:cs="Arial" w:eastAsia="Arial" w:hAnsi="Arial"/>
          <w:b/>
          <w:bCs/>
          <w:color w:val="1A2B1A"/>
          <w:sz w:val="28"/>
          <w:szCs w:val="28"/>
        </w:rPr>
        <w:t xml:space="preserve">Stage 2 — Score Action (High Priority)</w:t>
      </w:r>
    </w:p>
    <w:p>
      <w:pPr>
        <w:spacing w:after="120" w:before="80"/>
      </w:pPr>
      <w:r>
        <w:rPr>
          <w:rFonts w:ascii="Arial" w:cs="Arial" w:eastAsia="Arial" w:hAnsi="Arial"/>
          <w:sz w:val="22"/>
          <w:szCs w:val="22"/>
        </w:rPr>
        <w:t xml:space="preserve">Action scoring asks users to describe real decisions they've made, including context and intended outcomes. This is revealing personal behaviour and moral reasoning. Local storage here is important for user comfort.</w:t>
      </w:r>
    </w:p>
    <w:p>
      <w:pPr>
        <w:spacing w:after="120" w:before="80"/>
      </w:pPr>
      <w:r>
        <w:rPr>
          <w:rFonts w:ascii="Arial" w:cs="Arial" w:eastAsia="Arial" w:hAnsi="Arial"/>
          <w:sz w:val="22"/>
          <w:szCs w:val="22"/>
        </w:rPr>
        <w:t xml:space="preserve">What the developer needs to do:</w:t>
      </w:r>
    </w:p>
    <w:p>
      <w:pPr>
        <w:pStyle w:val="ListParagraph"/>
        <w:numPr>
          <w:ilvl w:val="0"/>
          <w:numId w:val="2"/>
        </w:numPr>
        <w:spacing w:after="40" w:before="40"/>
      </w:pPr>
      <w:r>
        <w:rPr>
          <w:rFonts w:ascii="Arial" w:cs="Arial" w:eastAsia="Arial" w:hAnsi="Arial"/>
          <w:sz w:val="22"/>
          <w:szCs w:val="22"/>
        </w:rPr>
        <w:t xml:space="preserve">Replicate the storage choice on the Score Action page.</w:t>
      </w:r>
    </w:p>
    <w:p>
      <w:pPr>
        <w:pStyle w:val="ListParagraph"/>
        <w:numPr>
          <w:ilvl w:val="0"/>
          <w:numId w:val="2"/>
        </w:numPr>
        <w:spacing w:after="40" w:before="40"/>
      </w:pPr>
      <w:r>
        <w:rPr>
          <w:rFonts w:ascii="Arial" w:cs="Arial" w:eastAsia="Arial" w:hAnsi="Arial"/>
          <w:sz w:val="22"/>
          <w:szCs w:val="22"/>
        </w:rPr>
        <w:t xml:space="preserve">Local mode: submit to the API for scoring, then save the result (score, alignment, reasoning) to IndexedDB only.</w:t>
      </w:r>
    </w:p>
    <w:p>
      <w:pPr>
        <w:pStyle w:val="ListParagraph"/>
        <w:numPr>
          <w:ilvl w:val="0"/>
          <w:numId w:val="2"/>
        </w:numPr>
        <w:spacing w:after="40" w:before="40"/>
      </w:pPr>
      <w:r>
        <w:rPr>
          <w:rFonts w:ascii="Arial" w:cs="Arial" w:eastAsia="Arial" w:hAnsi="Arial"/>
          <w:sz w:val="22"/>
          <w:szCs w:val="22"/>
        </w:rPr>
        <w:t xml:space="preserve">Allow the user to browse their local score history from IndexedDB, mirroring the cloud dashboard view.</w:t>
      </w:r>
    </w:p>
    <w:p>
      <w:pPr>
        <w:spacing w:after="120" w:before="0"/>
      </w:pPr>
      <w:r>
        <w:t xml:space="preserve"/>
      </w:r>
    </w:p>
    <w:p>
      <w:pPr>
        <w:pStyle w:val="Heading2"/>
        <w:spacing w:after="120" w:before="280"/>
      </w:pPr>
      <w:r>
        <w:rPr>
          <w:rFonts w:ascii="Arial" w:cs="Arial" w:eastAsia="Arial" w:hAnsi="Arial"/>
          <w:b/>
          <w:bCs/>
          <w:color w:val="1A2B1A"/>
          <w:sz w:val="28"/>
          <w:szCs w:val="28"/>
        </w:rPr>
        <w:t xml:space="preserve">Stage 3 — Baseline Assessment (Recommended)</w:t>
      </w:r>
    </w:p>
    <w:p>
      <w:pPr>
        <w:spacing w:after="120" w:before="80"/>
      </w:pPr>
      <w:r>
        <w:rPr>
          <w:rFonts w:ascii="Arial" w:cs="Arial" w:eastAsia="Arial" w:hAnsi="Arial"/>
          <w:sz w:val="22"/>
          <w:szCs w:val="22"/>
        </w:rPr>
        <w:t xml:space="preserve">The Baseline Assessment reveals how a user currently relates to each Stoic virtue — their psychological starting point. Storing this locally by default (since it is a one-time assessment) makes sense.</w:t>
      </w:r>
    </w:p>
    <w:p>
      <w:pPr>
        <w:spacing w:after="120" w:before="80"/>
      </w:pPr>
      <w:r>
        <w:rPr>
          <w:rFonts w:ascii="Arial" w:cs="Arial" w:eastAsia="Arial" w:hAnsi="Arial"/>
          <w:sz w:val="22"/>
          <w:szCs w:val="22"/>
        </w:rPr>
        <w:t xml:space="preserve">What the developer needs to do:</w:t>
      </w:r>
    </w:p>
    <w:p>
      <w:pPr>
        <w:pStyle w:val="ListParagraph"/>
        <w:numPr>
          <w:ilvl w:val="0"/>
          <w:numId w:val="2"/>
        </w:numPr>
        <w:spacing w:after="40" w:before="40"/>
      </w:pPr>
      <w:r>
        <w:rPr>
          <w:rFonts w:ascii="Arial" w:cs="Arial" w:eastAsia="Arial" w:hAnsi="Arial"/>
          <w:sz w:val="22"/>
          <w:szCs w:val="22"/>
        </w:rPr>
        <w:t xml:space="preserve">After completing the Baseline, give the user the choice to save the result locally or to the cloud.</w:t>
      </w:r>
    </w:p>
    <w:p>
      <w:pPr>
        <w:pStyle w:val="ListParagraph"/>
        <w:numPr>
          <w:ilvl w:val="0"/>
          <w:numId w:val="2"/>
        </w:numPr>
        <w:spacing w:after="40" w:before="40"/>
      </w:pPr>
      <w:r>
        <w:rPr>
          <w:rFonts w:ascii="Arial" w:cs="Arial" w:eastAsia="Arial" w:hAnsi="Arial"/>
          <w:sz w:val="22"/>
          <w:szCs w:val="22"/>
        </w:rPr>
        <w:t xml:space="preserve">Store the result in localStorage (it's a single record, not a history) rather than IndexedDB.</w:t>
      </w:r>
    </w:p>
    <w:p>
      <w:pPr>
        <w:pStyle w:val="ListParagraph"/>
        <w:numPr>
          <w:ilvl w:val="0"/>
          <w:numId w:val="2"/>
        </w:numPr>
        <w:spacing w:after="40" w:before="40"/>
      </w:pPr>
      <w:r>
        <w:rPr>
          <w:rFonts w:ascii="Arial" w:cs="Arial" w:eastAsia="Arial" w:hAnsi="Arial"/>
          <w:sz w:val="22"/>
          <w:szCs w:val="22"/>
        </w:rPr>
        <w:t xml:space="preserve">If stored locally, the user's profile page reads from localStorage for the baseline score.</w:t>
      </w:r>
    </w:p>
    <w:p>
      <w:pPr>
        <w:spacing w:after="120" w:before="0"/>
      </w:pPr>
      <w:r>
        <w:t xml:space="preserve"/>
      </w:r>
    </w:p>
    <w:p>
      <w:pPr>
        <w:pStyle w:val="Heading2"/>
        <w:spacing w:after="120" w:before="280"/>
      </w:pPr>
      <w:r>
        <w:rPr>
          <w:rFonts w:ascii="Arial" w:cs="Arial" w:eastAsia="Arial" w:hAnsi="Arial"/>
          <w:b/>
          <w:bCs/>
          <w:color w:val="1A2B1A"/>
          <w:sz w:val="28"/>
          <w:szCs w:val="28"/>
        </w:rPr>
        <w:t xml:space="preserve">Stage 4 — Score Social (Recommended)</w:t>
      </w:r>
    </w:p>
    <w:p>
      <w:pPr>
        <w:spacing w:after="120" w:before="80"/>
      </w:pPr>
      <w:r>
        <w:rPr>
          <w:rFonts w:ascii="Arial" w:cs="Arial" w:eastAsia="Arial" w:hAnsi="Arial"/>
          <w:sz w:val="22"/>
          <w:szCs w:val="22"/>
        </w:rPr>
        <w:t xml:space="preserve">Users paste draft social media posts for scoring before publishing. While less sensitive than Therapy, the posts and accompanying context can reveal political views, personal relationships, and emotional state.</w:t>
      </w:r>
    </w:p>
    <w:p>
      <w:pPr>
        <w:pStyle w:val="ListParagraph"/>
        <w:numPr>
          <w:ilvl w:val="0"/>
          <w:numId w:val="2"/>
        </w:numPr>
        <w:spacing w:after="40" w:before="40"/>
      </w:pPr>
      <w:r>
        <w:rPr>
          <w:rFonts w:ascii="Arial" w:cs="Arial" w:eastAsia="Arial" w:hAnsi="Arial"/>
          <w:sz w:val="22"/>
          <w:szCs w:val="22"/>
        </w:rPr>
        <w:t xml:space="preserve">Follow the same pattern: score via API, save results to IndexedDB in local mode.</w:t>
      </w:r>
    </w:p>
    <w:p>
      <w:pPr>
        <w:pStyle w:val="ListParagraph"/>
        <w:numPr>
          <w:ilvl w:val="0"/>
          <w:numId w:val="2"/>
        </w:numPr>
        <w:spacing w:after="40" w:before="40"/>
      </w:pPr>
      <w:r>
        <w:rPr>
          <w:rFonts w:ascii="Arial" w:cs="Arial" w:eastAsia="Arial" w:hAnsi="Arial"/>
          <w:sz w:val="22"/>
          <w:szCs w:val="22"/>
        </w:rPr>
        <w:t xml:space="preserve">This service is less likely to have repeat usage, so local mode may be the better default here.</w:t>
      </w:r>
    </w:p>
    <w:p>
      <w:pPr>
        <w:spacing w:after="120" w:before="0"/>
      </w:pPr>
      <w:r>
        <w:t xml:space="preserve"/>
      </w:r>
    </w:p>
    <w:p>
      <w:pPr>
        <w:pStyle w:val="Heading2"/>
        <w:spacing w:after="120" w:before="280"/>
      </w:pPr>
      <w:r>
        <w:rPr>
          <w:rFonts w:ascii="Arial" w:cs="Arial" w:eastAsia="Arial" w:hAnsi="Arial"/>
          <w:b/>
          <w:bCs/>
          <w:color w:val="1A2B1A"/>
          <w:sz w:val="28"/>
          <w:szCs w:val="28"/>
        </w:rPr>
        <w:t xml:space="preserve">Stage 5 — Export and Restore (Future)</w:t>
      </w:r>
    </w:p>
    <w:p>
      <w:pPr>
        <w:spacing w:after="120" w:before="80"/>
      </w:pPr>
      <w:r>
        <w:rPr>
          <w:rFonts w:ascii="Arial" w:cs="Arial" w:eastAsia="Arial" w:hAnsi="Arial"/>
          <w:sz w:val="22"/>
          <w:szCs w:val="22"/>
        </w:rPr>
        <w:t xml:space="preserve">Once local storage is in place across services, add an Export My Data option that lets users download all their local data as an encrypted file. This solves the main downside of local-only storage: losing data if the browser is cleared.</w:t>
      </w:r>
    </w:p>
    <w:p>
      <w:pPr>
        <w:pStyle w:val="ListParagraph"/>
        <w:numPr>
          <w:ilvl w:val="0"/>
          <w:numId w:val="2"/>
        </w:numPr>
        <w:spacing w:after="40" w:before="40"/>
      </w:pPr>
      <w:r>
        <w:rPr>
          <w:rFonts w:ascii="Arial" w:cs="Arial" w:eastAsia="Arial" w:hAnsi="Arial"/>
          <w:sz w:val="22"/>
          <w:szCs w:val="22"/>
        </w:rPr>
        <w:t xml:space="preserve">The export file is password-encrypted using AES-256 (the same encryption standard used by banks).</w:t>
      </w:r>
    </w:p>
    <w:p>
      <w:pPr>
        <w:pStyle w:val="ListParagraph"/>
        <w:numPr>
          <w:ilvl w:val="0"/>
          <w:numId w:val="2"/>
        </w:numPr>
        <w:spacing w:after="40" w:before="40"/>
      </w:pPr>
      <w:r>
        <w:rPr>
          <w:rFonts w:ascii="Arial" w:cs="Arial" w:eastAsia="Arial" w:hAnsi="Arial"/>
          <w:sz w:val="22"/>
          <w:szCs w:val="22"/>
        </w:rPr>
        <w:t xml:space="preserve">Users can import the file back into any device to restore their history.</w:t>
      </w:r>
    </w:p>
    <w:p>
      <w:pPr>
        <w:pStyle w:val="ListParagraph"/>
        <w:numPr>
          <w:ilvl w:val="0"/>
          <w:numId w:val="2"/>
        </w:numPr>
        <w:spacing w:after="40" w:before="40"/>
      </w:pPr>
      <w:r>
        <w:rPr>
          <w:rFonts w:ascii="Arial" w:cs="Arial" w:eastAsia="Arial" w:hAnsi="Arial"/>
          <w:sz w:val="22"/>
          <w:szCs w:val="22"/>
        </w:rPr>
        <w:t xml:space="preserve">This is a meaningful feature to market as a privacy differentiator.</w:t>
      </w:r>
    </w:p>
    <w:p>
      <w:pPr>
        <w:spacing w:after="120" w:before="0"/>
      </w:pPr>
      <w:r>
        <w:t xml:space="preserve"/>
      </w:r>
    </w:p>
    <w:p>
      <w:pPr>
        <w:pStyle w:val="Heading1"/>
        <w:spacing w:after="160" w:before="360"/>
      </w:pPr>
      <w:r>
        <w:rPr>
          <w:rFonts w:ascii="Arial" w:cs="Arial" w:eastAsia="Arial" w:hAnsi="Arial"/>
          <w:b/>
          <w:bCs/>
          <w:color w:val="2E6B4F"/>
          <w:sz w:val="36"/>
          <w:szCs w:val="36"/>
        </w:rPr>
        <w:t xml:space="preserve">6. What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200"/>
              <w:bottom w:type="dxa" w:w="120"/>
              <w:right w:type="dxa" w:w="200"/>
            </w:tcMar>
          </w:tcPr>
          <w:p>
            <w:pPr>
              <w:spacing w:after="60" w:before="0"/>
            </w:pPr>
            <w:r>
              <w:rPr>
                <w:rFonts w:ascii="Arial" w:cs="Arial" w:eastAsia="Arial" w:hAnsi="Arial"/>
                <w:b/>
                <w:bCs/>
                <w:color w:val="1A2B1A"/>
                <w:sz w:val="22"/>
                <w:szCs w:val="22"/>
              </w:rPr>
              <w:t xml:space="preserve">Common mistakes with local storage in web apps</w:t>
            </w:r>
          </w:p>
          <w:p>
            <w:pPr>
              <w:spacing w:after="0" w:before="0"/>
            </w:pPr>
            <w:r>
              <w:rPr>
                <w:rFonts w:ascii="Arial" w:cs="Arial" w:eastAsia="Arial" w:hAnsi="Arial"/>
                <w:color w:val="1A2B1A"/>
                <w:sz w:val="22"/>
                <w:szCs w:val="22"/>
              </w:rPr>
              <w:t xml:space="preserve"/>
            </w:r>
          </w:p>
        </w:tc>
      </w:tr>
    </w:tbl>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Do not store encryption keys in localStorage — they must be generated fresh each session or derived from a password the user enters.</w:t>
      </w:r>
    </w:p>
    <w:p>
      <w:pPr>
        <w:pStyle w:val="ListParagraph"/>
        <w:numPr>
          <w:ilvl w:val="0"/>
          <w:numId w:val="2"/>
        </w:numPr>
        <w:spacing w:after="40" w:before="40"/>
      </w:pPr>
      <w:r>
        <w:rPr>
          <w:rFonts w:ascii="Arial" w:cs="Arial" w:eastAsia="Arial" w:hAnsi="Arial"/>
          <w:sz w:val="22"/>
          <w:szCs w:val="22"/>
        </w:rPr>
        <w:t xml:space="preserve">Do not tell users "your data is safe" without being specific about what "local" actually means for them (data stays in this browser on this device).</w:t>
      </w:r>
    </w:p>
    <w:p>
      <w:pPr>
        <w:pStyle w:val="ListParagraph"/>
        <w:numPr>
          <w:ilvl w:val="0"/>
          <w:numId w:val="2"/>
        </w:numPr>
        <w:spacing w:after="40" w:before="40"/>
      </w:pPr>
      <w:r>
        <w:rPr>
          <w:rFonts w:ascii="Arial" w:cs="Arial" w:eastAsia="Arial" w:hAnsi="Arial"/>
          <w:sz w:val="22"/>
          <w:szCs w:val="22"/>
        </w:rPr>
        <w:t xml:space="preserve">Do not make local mode feel like a downgrade — frame it as the privacy-forward choice, not a lesser option.</w:t>
      </w:r>
    </w:p>
    <w:p>
      <w:pPr>
        <w:pStyle w:val="ListParagraph"/>
        <w:numPr>
          <w:ilvl w:val="0"/>
          <w:numId w:val="2"/>
        </w:numPr>
        <w:spacing w:after="40" w:before="40"/>
      </w:pPr>
      <w:r>
        <w:rPr>
          <w:rFonts w:ascii="Arial" w:cs="Arial" w:eastAsia="Arial" w:hAnsi="Arial"/>
          <w:sz w:val="22"/>
          <w:szCs w:val="22"/>
        </w:rPr>
        <w:t xml:space="preserve">Do not clear local data without warning — if the user clears browser data, their local entries are gone. The app should warn users about this clearly.</w:t>
      </w:r>
    </w:p>
    <w:p>
      <w:pPr>
        <w:pStyle w:val="ListParagraph"/>
        <w:numPr>
          <w:ilvl w:val="0"/>
          <w:numId w:val="2"/>
        </w:numPr>
        <w:spacing w:after="40" w:before="40"/>
      </w:pPr>
      <w:r>
        <w:rPr>
          <w:rFonts w:ascii="Arial" w:cs="Arial" w:eastAsia="Arial" w:hAnsi="Arial"/>
          <w:sz w:val="22"/>
          <w:szCs w:val="22"/>
        </w:rPr>
        <w:t xml:space="preserve">Do not skip the Export feature indefinitely — local-only data without a backup mechanism will eventually cause data loss, which will damage trust more than cloud storage ever would.</w:t>
      </w:r>
    </w:p>
    <w:p>
      <w:pPr>
        <w:spacing w:after="120" w:before="0"/>
      </w:pPr>
      <w:r>
        <w:t xml:space="preserve"/>
      </w:r>
    </w:p>
    <w:p>
      <w:pPr>
        <w:pStyle w:val="Heading1"/>
        <w:spacing w:after="160" w:before="360"/>
      </w:pPr>
      <w:r>
        <w:rPr>
          <w:rFonts w:ascii="Arial" w:cs="Arial" w:eastAsia="Arial" w:hAnsi="Arial"/>
          <w:b/>
          <w:bCs/>
          <w:color w:val="2E6B4F"/>
          <w:sz w:val="36"/>
          <w:szCs w:val="36"/>
        </w:rPr>
        <w:t xml:space="preserve">7. How to Present This to Users</w:t>
      </w:r>
    </w:p>
    <w:p>
      <w:pPr>
        <w:spacing w:after="120" w:before="80"/>
      </w:pPr>
      <w:r>
        <w:rPr>
          <w:rFonts w:ascii="Arial" w:cs="Arial" w:eastAsia="Arial" w:hAnsi="Arial"/>
          <w:sz w:val="22"/>
          <w:szCs w:val="22"/>
        </w:rPr>
        <w:t xml:space="preserve">The language used matters as much as the technology. Here is suggested wording for the storage choice prompt, consistent with the Stoic brand: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20"/>
              <w:left w:type="dxa" w:w="200"/>
              <w:bottom w:type="dxa" w:w="120"/>
              <w:right w:type="dxa" w:w="200"/>
            </w:tcMar>
          </w:tcPr>
          <w:p>
            <w:pPr>
              <w:spacing w:after="60" w:before="0"/>
            </w:pPr>
            <w:r>
              <w:rPr>
                <w:rFonts w:ascii="Arial" w:cs="Arial" w:eastAsia="Arial" w:hAnsi="Arial"/>
                <w:b/>
                <w:bCs/>
                <w:color w:val="1A2B1A"/>
                <w:sz w:val="22"/>
                <w:szCs w:val="22"/>
              </w:rPr>
              <w:t xml:space="preserve">Suggested storage choice prompt (all sensitive services)</w:t>
            </w:r>
          </w:p>
          <w:p>
            <w:pPr>
              <w:spacing w:after="0" w:before="0"/>
            </w:pPr>
            <w:r>
              <w:rPr>
                <w:rFonts w:ascii="Arial" w:cs="Arial" w:eastAsia="Arial" w:hAnsi="Arial"/>
                <w:color w:val="1A2B1A"/>
                <w:sz w:val="22"/>
                <w:szCs w:val="22"/>
              </w:rPr>
              <w:t xml:space="preserve">Where would you like to keep your entries?
Cloud (recommended for multi-device use): Your responses are stored securely in your SageReasoning account. You can access them from any device.
Local (this device only): Your responses stay in this browser and are never sent to our servers after scoring. This is the most private option. Note: clearing your browser data will erase them, so we recommend exporting regularly.
You can change this at any time in your account settings.</w:t>
            </w:r>
          </w:p>
        </w:tc>
      </w:tr>
    </w:tbl>
    <w:p>
      <w:pPr>
        <w:spacing w:after="120" w:before="0"/>
      </w:pPr>
      <w:r>
        <w:t xml:space="preserve"/>
      </w:r>
    </w:p>
    <w:p>
      <w:pPr>
        <w:pStyle w:val="Heading1"/>
        <w:spacing w:after="160" w:before="360"/>
      </w:pPr>
      <w:r>
        <w:rPr>
          <w:rFonts w:ascii="Arial" w:cs="Arial" w:eastAsia="Arial" w:hAnsi="Arial"/>
          <w:b/>
          <w:bCs/>
          <w:color w:val="2E6B4F"/>
          <w:sz w:val="36"/>
          <w:szCs w:val="36"/>
        </w:rPr>
        <w:t xml:space="preserve">8. Alignment with Stoic Values</w:t>
      </w:r>
    </w:p>
    <w:p>
      <w:pPr>
        <w:spacing w:after="120" w:before="80"/>
      </w:pPr>
      <w:r>
        <w:rPr>
          <w:rFonts w:ascii="Arial" w:cs="Arial" w:eastAsia="Arial" w:hAnsi="Arial"/>
          <w:sz w:val="22"/>
          <w:szCs w:val="22"/>
        </w:rPr>
        <w:t xml:space="preserve">It is worth pausing to note that this feature is not just a privacy measure — it is an expression of the platform's core values in action.</w:t>
      </w:r>
    </w:p>
    <w:p>
      <w:pPr>
        <w:pStyle w:val="ListParagraph"/>
        <w:numPr>
          <w:ilvl w:val="0"/>
          <w:numId w:val="2"/>
        </w:numPr>
        <w:spacing w:after="40" w:before="40"/>
      </w:pPr>
      <w:r>
        <w:rPr>
          <w:rFonts w:ascii="Arial" w:cs="Arial" w:eastAsia="Arial" w:hAnsi="Arial"/>
          <w:b/>
          <w:bCs/>
          <w:sz w:val="22"/>
          <w:szCs w:val="22"/>
        </w:rPr>
        <w:t xml:space="preserve">Justice: </w:t>
      </w:r>
      <w:r>
        <w:rPr>
          <w:rFonts w:ascii="Arial" w:cs="Arial" w:eastAsia="Arial" w:hAnsi="Arial"/>
          <w:sz w:val="22"/>
          <w:szCs w:val="22"/>
        </w:rPr>
        <w:t xml:space="preserve">Justice demands we do not exploit users’ trust for data collection convenience.</w:t>
      </w:r>
    </w:p>
    <w:p>
      <w:pPr>
        <w:pStyle w:val="ListParagraph"/>
        <w:numPr>
          <w:ilvl w:val="0"/>
          <w:numId w:val="2"/>
        </w:numPr>
        <w:spacing w:after="40" w:before="40"/>
      </w:pPr>
      <w:r>
        <w:rPr>
          <w:rFonts w:ascii="Arial" w:cs="Arial" w:eastAsia="Arial" w:hAnsi="Arial"/>
          <w:b/>
          <w:bCs/>
          <w:sz w:val="22"/>
          <w:szCs w:val="22"/>
        </w:rPr>
        <w:t xml:space="preserve">Wisdom: </w:t>
      </w:r>
      <w:r>
        <w:rPr>
          <w:rFonts w:ascii="Arial" w:cs="Arial" w:eastAsia="Arial" w:hAnsi="Arial"/>
          <w:sz w:val="22"/>
          <w:szCs w:val="22"/>
        </w:rPr>
        <w:t xml:space="preserve">Wisdom recognises that users who feel safe share more authentically, producing better reflections and better growth.</w:t>
      </w:r>
    </w:p>
    <w:p>
      <w:pPr>
        <w:pStyle w:val="ListParagraph"/>
        <w:numPr>
          <w:ilvl w:val="0"/>
          <w:numId w:val="2"/>
        </w:numPr>
        <w:spacing w:after="40" w:before="40"/>
      </w:pPr>
      <w:r>
        <w:rPr>
          <w:rFonts w:ascii="Arial" w:cs="Arial" w:eastAsia="Arial" w:hAnsi="Arial"/>
          <w:b/>
          <w:bCs/>
          <w:sz w:val="22"/>
          <w:szCs w:val="22"/>
        </w:rPr>
        <w:t xml:space="preserve">Temperance: </w:t>
      </w:r>
      <w:r>
        <w:rPr>
          <w:rFonts w:ascii="Arial" w:cs="Arial" w:eastAsia="Arial" w:hAnsi="Arial"/>
          <w:sz w:val="22"/>
          <w:szCs w:val="22"/>
        </w:rPr>
        <w:t xml:space="preserve">Temperance means not accumulating data beyond what is necessary for the user's benefit.</w:t>
      </w:r>
    </w:p>
    <w:p>
      <w:pPr>
        <w:pStyle w:val="ListParagraph"/>
        <w:numPr>
          <w:ilvl w:val="0"/>
          <w:numId w:val="2"/>
        </w:numPr>
        <w:spacing w:after="40" w:before="40"/>
      </w:pPr>
      <w:r>
        <w:rPr>
          <w:rFonts w:ascii="Arial" w:cs="Arial" w:eastAsia="Arial" w:hAnsi="Arial"/>
          <w:b/>
          <w:bCs/>
          <w:sz w:val="22"/>
          <w:szCs w:val="22"/>
        </w:rPr>
        <w:t xml:space="preserve">Courage: </w:t>
      </w:r>
      <w:r>
        <w:rPr>
          <w:rFonts w:ascii="Arial" w:cs="Arial" w:eastAsia="Arial" w:hAnsi="Arial"/>
          <w:sz w:val="22"/>
          <w:szCs w:val="22"/>
        </w:rPr>
        <w:t xml:space="preserve">Courage means choosing the harder path (local storage is more complex to build) because it is the right one.</w:t>
      </w:r>
    </w:p>
    <w:p>
      <w:pPr>
        <w:spacing w:after="120" w:before="0"/>
      </w:pPr>
      <w:r>
        <w:t xml:space="preserve"/>
      </w:r>
    </w:p>
    <w:p>
      <w:pPr>
        <w:spacing w:after="120" w:before="80"/>
      </w:pPr>
      <w:r>
        <w:rPr>
          <w:rFonts w:ascii="Arial" w:cs="Arial" w:eastAsia="Arial" w:hAnsi="Arial"/>
          <w:sz w:val="22"/>
          <w:szCs w:val="22"/>
        </w:rPr>
        <w:t xml:space="preserve">Giving users genuine control over their most intimate data is one of the most Stoic things this platform can do. It should be positioned as such.</w:t>
      </w:r>
    </w:p>
    <w:p>
      <w:pPr>
        <w:pBdr>
          <w:bottom w:val="single" w:color="2E6B4F" w:sz="4" w:space="1"/>
        </w:pBdr>
        <w:spacing w:after="160" w:before="160"/>
      </w:pPr>
      <w:r>
        <w:t xml:space="preserve"/>
      </w:r>
    </w:p>
    <w:p>
      <w:pPr>
        <w:spacing w:after="80" w:before="160"/>
        <w:jc w:val="center"/>
      </w:pPr>
      <w:r>
        <w:rPr>
          <w:rFonts w:ascii="Arial" w:cs="Arial" w:eastAsia="Arial" w:hAnsi="Arial"/>
          <w:i/>
          <w:iCs/>
          <w:color w:val="2E6B4F"/>
          <w:sz w:val="20"/>
          <w:szCs w:val="20"/>
        </w:rPr>
        <w:t xml:space="preserve">SageReasoning — sagereasoning.com</w:t>
      </w:r>
    </w:p>
    <w:p>
      <w:pPr>
        <w:spacing w:after="0" w:before="0"/>
        <w:jc w:val="center"/>
      </w:pPr>
      <w:r>
        <w:rPr>
          <w:rFonts w:ascii="Arial" w:cs="Arial" w:eastAsia="Arial" w:hAnsi="Arial"/>
          <w:color w:val="888888"/>
          <w:sz w:val="18"/>
          <w:szCs w:val="18"/>
        </w:rPr>
        <w:t xml:space="preserve">Prepared for Clinton Aitkenhead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Confidential — Clinton Aitkenhead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B4F" w:sz="4" w:space="1"/>
      </w:pBdr>
      <w:jc w:val="right"/>
    </w:pPr>
    <w:r>
      <w:rPr>
        <w:rFonts w:ascii="Arial" w:cs="Arial" w:eastAsia="Arial" w:hAnsi="Arial"/>
        <w:color w:val="2E6B4F"/>
        <w:sz w:val="18"/>
        <w:szCs w:val="18"/>
      </w:rPr>
      <w:t xml:space="preserve">SageReasoning — Priority 5: Local Data Storage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6B4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2B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6B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2026-03-26T08:31:00.113Z</dcterms:created>
  <dcterms:modified xsi:type="dcterms:W3CDTF">2026-03-26T08:31:00.113Z</dcterms:modified>
</cp:coreProperties>
</file>

<file path=docProps/custom.xml><?xml version="1.0" encoding="utf-8"?>
<Properties xmlns="http://schemas.openxmlformats.org/officeDocument/2006/custom-properties" xmlns:vt="http://schemas.openxmlformats.org/officeDocument/2006/docPropsVTypes"/>
</file>