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ADDENDUM</w:t>
      </w:r>
    </w:p>
    <w:p>
      <w:pPr>
        <w:spacing w:after="200"/>
        <w:jc w:val="center"/>
      </w:pPr>
      <w:r>
        <w:rPr>
          <w:rFonts w:ascii="Arial" w:cs="Arial" w:eastAsia="Arial" w:hAnsi="Arial"/>
          <w:b/>
          <w:bCs/>
          <w:color w:val="2E8B8B"/>
          <w:sz w:val="32"/>
          <w:szCs w:val="32"/>
        </w:rPr>
        <w:t xml:space="preserve">Sage Mentor × Sage Agent × Cowork Integration</w:t>
      </w:r>
    </w:p>
    <w:p>
      <w:pPr>
        <w:spacing w:after="600"/>
        <w:jc w:val="center"/>
      </w:pPr>
      <w:r>
        <w:rPr>
          <w:rFonts w:ascii="Arial" w:cs="Arial" w:eastAsia="Arial" w:hAnsi="Arial"/>
          <w:color w:val="666666"/>
          <w:sz w:val="24"/>
          <w:szCs w:val="24"/>
        </w:rPr>
        <w:t xml:space="preserve">Market Validation, Customer Segments &amp; Opportunity Assessment</w:t>
      </w:r>
    </w:p>
    <w:p>
      <w:pPr>
        <w:spacing w:after="100"/>
        <w:jc w:val="center"/>
      </w:pPr>
      <w:r>
        <w:rPr>
          <w:rFonts w:ascii="Arial" w:cs="Arial" w:eastAsia="Arial" w:hAnsi="Arial"/>
          <w:i/>
          <w:iCs/>
          <w:color w:val="666666"/>
          <w:sz w:val="20"/>
          <w:szCs w:val="20"/>
        </w:rPr>
        <w:t xml:space="preserve">Supplements: SageReasoning_Market_Opportunity_Assessment.docx</w:t>
      </w:r>
    </w:p>
    <w:p>
      <w:pPr>
        <w:spacing w:after="100"/>
        <w:jc w:val="center"/>
      </w:pPr>
      <w:r>
        <w:rPr>
          <w:rFonts w:ascii="Arial" w:cs="Arial" w:eastAsia="Arial" w:hAnsi="Arial"/>
          <w:color w:val="666666"/>
          <w:sz w:val="22"/>
          <w:szCs w:val="22"/>
        </w:rPr>
        <w:t xml:space="preserve">April 2026</w:t>
      </w:r>
    </w:p>
    <w:p>
      <w:pPr>
        <w:spacing w:after="2000"/>
        <w:jc w:val="center"/>
      </w:pPr>
      <w:r>
        <w:rPr>
          <w:rFonts w:ascii="Arial" w:cs="Arial" w:eastAsia="Arial" w:hAnsi="Arial"/>
          <w:b/>
          <w:bCs/>
          <w:color w:val="CC3333"/>
          <w:sz w:val="20"/>
          <w:szCs w:val="20"/>
        </w:rPr>
        <w:t xml:space="preserve">CONFIDENTIAL</w:t>
      </w:r>
    </w:p>
    <w:p>
      <w:r>
        <w:br w:type="page"/>
      </w:r>
    </w:p>
    <w:p>
      <w:pPr>
        <w:pStyle w:val="Heading1"/>
        <w:spacing w:after="200" w:before="300"/>
      </w:pPr>
      <w:r>
        <w:t xml:space="preserve">1. Why This Addendum</w:t>
      </w:r>
    </w:p>
    <w:p>
      <w:pPr>
        <w:spacing w:after="120"/>
      </w:pPr>
      <w:r>
        <w:rPr>
          <w:rFonts w:ascii="Arial" w:cs="Arial" w:eastAsia="Arial" w:hAnsi="Arial"/>
          <w:color w:val="000000"/>
          <w:sz w:val="22"/>
          <w:szCs w:val="22"/>
        </w:rPr>
        <w:t xml:space="preserve">The original Market Opportunity Assessment evaluated three product lines: the Agent Trust Layer (certifying other agents), the human-facing Stoic tools (website products), and the API marketplace (sage skills). It identified the Agent Trust Layer as the strongest opportunity.</w:t>
      </w:r>
    </w:p>
    <w:p>
      <w:pPr>
        <w:spacing w:after="120"/>
      </w:pPr>
      <w:r>
        <w:rPr>
          <w:rFonts w:ascii="Arial" w:cs="Arial" w:eastAsia="Arial" w:hAnsi="Arial"/>
          <w:color w:val="000000"/>
          <w:sz w:val="22"/>
          <w:szCs w:val="22"/>
        </w:rPr>
        <w:t xml:space="preserve">This addendum corrects an omission. The Sage Mentor, when integrated with the Sage Agent ring architecture and the Claude Cowork session bridge, is a distinct fourth product that operates in a different market, serves a different customer, and has different competitive dynamics. It was conflated with the human-facing tools and the Agent Trust Layer when it is, in fact, neither.</w:t>
      </w:r>
    </w:p>
    <w:p>
      <w:pPr>
        <w:spacing w:after="120"/>
      </w:pPr>
      <w:r>
        <w:rPr>
          <w:rFonts w:ascii="Arial" w:cs="Arial" w:eastAsia="Arial" w:hAnsi="Arial"/>
          <w:b/>
          <w:bCs/>
          <w:sz w:val="22"/>
          <w:szCs w:val="22"/>
        </w:rPr>
        <w:t xml:space="preserve">What the Sage Mentor is: </w:t>
      </w:r>
      <w:r>
        <w:rPr>
          <w:rFonts w:ascii="Arial" w:cs="Arial" w:eastAsia="Arial" w:hAnsi="Arial"/>
          <w:sz w:val="22"/>
          <w:szCs w:val="22"/>
        </w:rPr>
        <w:t xml:space="preserve">A persistent philosophical reasoning companion that wraps any AI agent or tool with before/after Stoic evaluation, carries a longitudinal profile built from journal ingestion, monitors decision quality across sessions, detects reasoning patterns over weeks and months, and proactively surfaces observations through morning check-ins, evening reflections, and weekly pattern mirrors.</w:t>
      </w:r>
    </w:p>
    <w:p>
      <w:pPr>
        <w:spacing w:after="120"/>
      </w:pPr>
      <w:r>
        <w:rPr>
          <w:rFonts w:ascii="Arial" w:cs="Arial" w:eastAsia="Arial" w:hAnsi="Arial"/>
          <w:b/>
          <w:bCs/>
          <w:sz w:val="22"/>
          <w:szCs w:val="22"/>
        </w:rPr>
        <w:t xml:space="preserve">What it is not: </w:t>
      </w:r>
      <w:r>
        <w:rPr>
          <w:rFonts w:ascii="Arial" w:cs="Arial" w:eastAsia="Arial" w:hAnsi="Arial"/>
          <w:sz w:val="22"/>
          <w:szCs w:val="22"/>
        </w:rPr>
        <w:t xml:space="preserve">It is not a Stoic quiz app (that is the human-facing website). It is not a certification authority for other people’s agents (that is the Agent Trust Layer). It is not a per-call API (that is the sage skills marketplace). It is a continuous reasoning oversight product for decision-makers.</w:t>
      </w:r>
    </w:p>
    <w:p>
      <w:pPr>
        <w:spacing w:after="120"/>
      </w:pPr>
      <w:r>
        <w:rPr>
          <w:rFonts w:ascii="Arial" w:cs="Arial" w:eastAsia="Arial" w:hAnsi="Arial"/>
          <w:color w:val="000000"/>
          <w:sz w:val="22"/>
          <w:szCs w:val="22"/>
        </w:rPr>
        <w:t xml:space="preserve">The key features that distinguish the Sage Mentor from all other SageReasoning products:</w:t>
      </w:r>
    </w:p>
    <w:p>
      <w:pPr>
        <w:pStyle w:val="ListParagraph"/>
        <w:numPr>
          <w:ilvl w:val="0"/>
          <w:numId w:val="2"/>
        </w:numPr>
        <w:spacing w:after="80"/>
      </w:pPr>
      <w:r>
        <w:rPr>
          <w:rFonts w:ascii="Arial" w:cs="Arial" w:eastAsia="Arial" w:hAnsi="Arial"/>
          <w:sz w:val="22"/>
          <w:szCs w:val="22"/>
        </w:rPr>
        <w:t xml:space="preserve">Persistent project status memory across sessions (the session bridge)</w:t>
      </w:r>
    </w:p>
    <w:p>
      <w:pPr>
        <w:pStyle w:val="ListParagraph"/>
        <w:numPr>
          <w:ilvl w:val="0"/>
          <w:numId w:val="2"/>
        </w:numPr>
        <w:spacing w:after="80"/>
      </w:pPr>
      <w:r>
        <w:rPr>
          <w:rFonts w:ascii="Arial" w:cs="Arial" w:eastAsia="Arial" w:hAnsi="Arial"/>
          <w:sz w:val="22"/>
          <w:szCs w:val="22"/>
        </w:rPr>
        <w:t xml:space="preserve">Baseline project Stoic assessment that is tracked and updated</w:t>
      </w:r>
    </w:p>
    <w:p>
      <w:pPr>
        <w:pStyle w:val="ListParagraph"/>
        <w:numPr>
          <w:ilvl w:val="0"/>
          <w:numId w:val="2"/>
        </w:numPr>
        <w:spacing w:after="80"/>
      </w:pPr>
      <w:r>
        <w:rPr>
          <w:rFonts w:ascii="Arial" w:cs="Arial" w:eastAsia="Arial" w:hAnsi="Arial"/>
          <w:sz w:val="22"/>
          <w:szCs w:val="22"/>
        </w:rPr>
        <w:t xml:space="preserve">Live monitoring of decision health during Cowork sessions (observer, consultant, and companion modes)</w:t>
      </w:r>
    </w:p>
    <w:p>
      <w:pPr>
        <w:pStyle w:val="ListParagraph"/>
        <w:numPr>
          <w:ilvl w:val="0"/>
          <w:numId w:val="2"/>
        </w:numPr>
        <w:spacing w:after="80"/>
      </w:pPr>
      <w:r>
        <w:rPr>
          <w:rFonts w:ascii="Arial" w:cs="Arial" w:eastAsia="Arial" w:hAnsi="Arial"/>
          <w:sz w:val="22"/>
          <w:szCs w:val="22"/>
        </w:rPr>
        <w:t xml:space="preserve">Cross-session pattern detection across 5 dimensions (domain clustering, passion recurrence, proximity trajectory, value-action consistency, strategic blind spots)</w:t>
      </w:r>
    </w:p>
    <w:p>
      <w:pPr>
        <w:pStyle w:val="ListParagraph"/>
        <w:numPr>
          <w:ilvl w:val="0"/>
          <w:numId w:val="2"/>
        </w:numPr>
        <w:spacing w:after="80"/>
      </w:pPr>
      <w:r>
        <w:rPr>
          <w:rFonts w:ascii="Arial" w:cs="Arial" w:eastAsia="Arial" w:hAnsi="Arial"/>
          <w:sz w:val="22"/>
          <w:szCs w:val="22"/>
        </w:rPr>
        <w:t xml:space="preserve">The ring architecture: any agent that slots into the gap generates reasoning evaluation calls</w:t>
      </w:r>
    </w:p>
    <w:p>
      <w:pPr>
        <w:pStyle w:val="ListParagraph"/>
        <w:numPr>
          <w:ilvl w:val="0"/>
          <w:numId w:val="2"/>
        </w:numPr>
        <w:spacing w:after="80"/>
      </w:pPr>
      <w:r>
        <w:rPr>
          <w:rFonts w:ascii="Arial" w:cs="Arial" w:eastAsia="Arial" w:hAnsi="Arial"/>
          <w:sz w:val="22"/>
          <w:szCs w:val="22"/>
        </w:rPr>
        <w:t xml:space="preserve">Journal-based onboarding that provides day-one depth equivalent to months of interaction</w:t>
      </w:r>
    </w:p>
    <w:p>
      <w:pPr>
        <w:pStyle w:val="ListParagraph"/>
        <w:numPr>
          <w:ilvl w:val="0"/>
          <w:numId w:val="2"/>
        </w:numPr>
        <w:spacing w:after="80"/>
      </w:pPr>
      <w:r>
        <w:rPr>
          <w:rFonts w:ascii="Arial" w:cs="Arial" w:eastAsia="Arial" w:hAnsi="Arial"/>
          <w:sz w:val="22"/>
          <w:szCs w:val="22"/>
        </w:rPr>
        <w:t xml:space="preserve">Personal accreditation card tracking reasoning quality over time</w:t>
      </w:r>
    </w:p>
    <w:p>
      <w:r>
        <w:br w:type="page"/>
      </w:r>
    </w:p>
    <w:p>
      <w:pPr>
        <w:pStyle w:val="Heading1"/>
        <w:spacing w:after="200" w:before="300"/>
      </w:pPr>
      <w:r>
        <w:t xml:space="preserve">2. Market Landscape: Where the Sage Mentor Sits</w:t>
      </w:r>
    </w:p>
    <w:p>
      <w:pPr>
        <w:spacing w:after="120"/>
      </w:pPr>
      <w:r>
        <w:rPr>
          <w:rFonts w:ascii="Arial" w:cs="Arial" w:eastAsia="Arial" w:hAnsi="Arial"/>
          <w:color w:val="000000"/>
          <w:sz w:val="22"/>
          <w:szCs w:val="22"/>
        </w:rPr>
        <w:t xml:space="preserve">The Sage Mentor sits at the intersection of four markets, each of which has significant activity but none of which directly competes with the full Sage Mentor proposition.</w:t>
      </w:r>
    </w:p>
    <w:p>
      <w:pPr>
        <w:pStyle w:val="Heading2"/>
        <w:spacing w:after="200" w:before="300"/>
      </w:pPr>
      <w:r>
        <w:t xml:space="preserve">2.1 AI Executive Coaching ($113B market, 9.1% CAGR)</w:t>
      </w:r>
    </w:p>
    <w:p>
      <w:pPr>
        <w:spacing w:after="120"/>
      </w:pPr>
      <w:r>
        <w:rPr>
          <w:rFonts w:ascii="Arial" w:cs="Arial" w:eastAsia="Arial" w:hAnsi="Arial"/>
          <w:color w:val="000000"/>
          <w:sz w:val="22"/>
          <w:szCs w:val="22"/>
        </w:rPr>
        <w:t xml:space="preserve">The executive coaching market is the largest addressable market. Traditional human coaching costs $200–$3,000 per hour ($717/hour median), with corporate programmes running $5,000–$30,000 per engagement. AI is disrupting this at the 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200"/>
        <w:gridCol w:w="28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Platform</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AI Features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Pricing</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Metric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BetterUp</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AI-powered leadership insights, behavioural tracking, development recommendations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$200–5,000+/user/year (enterprise)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$214.6M revenue (2024); $5B valuation; $632M total funding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CoachHub (AIMY 2.0)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24/7 AI coaching, dynamic self-assessments, smart nudges, role-play scenarios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 packages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60 enterprise clients in 5 months; 50,000+ coaching conversations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Valence (Nadia)</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Voice-first AI coach: goal-setting, feedback coaching, skill-building, conflict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Enterprise-only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$50M Series B (2025); 1M+ conversations; NPS 90+; 75% weekly usage at Delta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Torch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practice simulations, real-time leadership trend analytics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 (not disclosed)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6,000+ certified coaches in network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Rocky.ai</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Daily 5-minute micro-coaching, habit development, measurable weekly focus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$10–13/user/month</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Lowest entry point; white-label available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Fingerprint for Success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Coach “Marlee”; 90%+ predictive reliability for motivation/behaviour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disclosed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AU$11.5M total funding; 20+ years research base</w:t>
            </w:r>
          </w:p>
        </w:tc>
      </w:tr>
    </w:tbl>
    <w:p>
      <w:pPr>
        <w:spacing w:after="200"/>
      </w:pPr>
    </w:p>
    <w:p>
      <w:pPr>
        <w:spacing w:after="120"/>
      </w:pPr>
      <w:r>
        <w:rPr>
          <w:rFonts w:ascii="Arial" w:cs="Arial" w:eastAsia="Arial" w:hAnsi="Arial"/>
          <w:b/>
          <w:bCs/>
          <w:sz w:val="22"/>
          <w:szCs w:val="22"/>
        </w:rPr>
        <w:t xml:space="preserve">Gap: </w:t>
      </w:r>
      <w:r>
        <w:rPr>
          <w:rFonts w:ascii="Arial" w:cs="Arial" w:eastAsia="Arial" w:hAnsi="Arial"/>
          <w:sz w:val="22"/>
          <w:szCs w:val="22"/>
        </w:rPr>
        <w:t xml:space="preserve">Every AI coaching platform focuses on professional development metrics (leadership competency, retention, productivity). None evaluates the quality of reasoning behind decisions. None uses a structured philosophical framework. None builds a longitudinal profile from journal ingestion. None provides before/after reasoning checks on actual decisions as they happen. The coaching market has AI; it does not have reasoning oversight.</w:t>
      </w:r>
    </w:p>
    <w:p>
      <w:pPr>
        <w:pStyle w:val="Heading2"/>
        <w:spacing w:after="200" w:before="300"/>
      </w:pPr>
      <w:r>
        <w:t xml:space="preserve">2.2 Decision Intelligence ($9.7B market, 19.6% CAGR)</w:t>
      </w:r>
    </w:p>
    <w:p>
      <w:pPr>
        <w:spacing w:after="120"/>
      </w:pPr>
      <w:r>
        <w:rPr>
          <w:rFonts w:ascii="Arial" w:cs="Arial" w:eastAsia="Arial" w:hAnsi="Arial"/>
          <w:color w:val="000000"/>
          <w:sz w:val="22"/>
          <w:szCs w:val="22"/>
        </w:rPr>
        <w:t xml:space="preserve">Decision intelligence platforms combine data, analytics, and AI to model, execute, and monitor decisions. Gartner projects 50% of business decisions will be AI-augmented by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Platform</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Does</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Who It Serves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Aera Technology (Gartner Leader)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Cloud: real-time decision automation and optimisation. Agent teams, simulation, governance agents.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 supply chain, manufacturing, oil/gas (Hershey, large industrials)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FICO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management for financial services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Banks, insurers, lenders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Qlik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Analytics with decision intelligence features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 data teams</w:t>
            </w:r>
          </w:p>
        </w:tc>
      </w:tr>
    </w:tbl>
    <w:p>
      <w:pPr>
        <w:spacing w:after="200"/>
      </w:pPr>
    </w:p>
    <w:p>
      <w:pPr>
        <w:spacing w:after="120"/>
      </w:pPr>
      <w:r>
        <w:rPr>
          <w:rFonts w:ascii="Arial" w:cs="Arial" w:eastAsia="Arial" w:hAnsi="Arial"/>
          <w:b/>
          <w:bCs/>
          <w:sz w:val="22"/>
          <w:szCs w:val="22"/>
        </w:rPr>
        <w:t xml:space="preserve">Gap: </w:t>
      </w:r>
      <w:r>
        <w:rPr>
          <w:rFonts w:ascii="Arial" w:cs="Arial" w:eastAsia="Arial" w:hAnsi="Arial"/>
          <w:sz w:val="22"/>
          <w:szCs w:val="22"/>
        </w:rPr>
        <w:t xml:space="preserve">Decision intelligence platforms optimise organisational decisions (supply chain, pricing, resource allocation). They do not monitor individual decision quality. They do not track whether a specific person’s reasoning is improving or degrading over time. They operate at system level, not at the level of the person making the decision. The Sage Mentor fills this gap: longitudinal, individual-level decision quality monitoring.</w:t>
      </w:r>
    </w:p>
    <w:p>
      <w:pPr>
        <w:pStyle w:val="Heading2"/>
        <w:spacing w:after="200" w:before="300"/>
      </w:pPr>
      <w:r>
        <w:t xml:space="preserve">2.3 AI Companions with Persistent Memory</w:t>
      </w:r>
    </w:p>
    <w:p>
      <w:pPr>
        <w:spacing w:after="120"/>
      </w:pPr>
      <w:r>
        <w:rPr>
          <w:rFonts w:ascii="Arial" w:cs="Arial" w:eastAsia="Arial" w:hAnsi="Arial"/>
          <w:color w:val="000000"/>
          <w:sz w:val="22"/>
          <w:szCs w:val="22"/>
        </w:rPr>
        <w:t xml:space="preserve">Memory infrastructure has matured rapidly. Three frameworks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Framework</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Memory Model</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Adoption</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Mem0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Hybrid vector/graph/KV store; user/session/agent scopes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100,000+ developers; $24M Series 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Free (10K memories) to enterprise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Letta (formerly MemGPT)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Three-tier OS model: core (RAM), archival (disk), recall (history)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Growing; high lock-in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Open-source + cloud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Zep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Temporal knowledge graph; episodic memory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Growing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Cloud + community self-hosted</w:t>
            </w:r>
          </w:p>
        </w:tc>
      </w:tr>
    </w:tbl>
    <w:p>
      <w:pPr>
        <w:spacing w:after="200"/>
      </w:pPr>
    </w:p>
    <w:p>
      <w:pPr>
        <w:spacing w:after="120"/>
      </w:pPr>
      <w:r>
        <w:rPr>
          <w:rFonts w:ascii="Arial" w:cs="Arial" w:eastAsia="Arial" w:hAnsi="Arial"/>
          <w:color w:val="000000"/>
          <w:sz w:val="22"/>
          <w:szCs w:val="22"/>
        </w:rPr>
        <w:t xml:space="preserve">Consumer companion apps (Nomi, Replika, Kin) are also building persistent relationships, with Kin specifically positioning as a “private advisory board” of 5 AI advisors for founders.</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Memory infrastructure stores and retrieves context. It does not evaluate what that context means for the quality of your reasoning. The Sage Mentor uses persistent memory as a foundation but adds the evaluation layer: the ring’s before/after checks, the pattern engine, the passion diagnostic, the progression prescription. Memory is the filing cabinet; the Mentor is the physician who reads the files.</w:t>
      </w:r>
    </w:p>
    <w:p>
      <w:pPr>
        <w:pStyle w:val="Heading2"/>
        <w:spacing w:after="200" w:before="300"/>
      </w:pPr>
      <w:r>
        <w:t xml:space="preserve">2.4 Claude Cowork Plugin Ecosystem</w:t>
      </w:r>
    </w:p>
    <w:p>
      <w:pPr>
        <w:spacing w:after="120"/>
      </w:pPr>
      <w:r>
        <w:rPr>
          <w:rFonts w:ascii="Arial" w:cs="Arial" w:eastAsia="Arial" w:hAnsi="Arial"/>
          <w:color w:val="000000"/>
          <w:sz w:val="22"/>
          <w:szCs w:val="22"/>
        </w:rPr>
        <w:t xml:space="preserve">Claude Cowork launched January 2026 and triggered a $285B enterprise software stock selloff. The plugin ecosystem has grown rapidly:</w:t>
      </w:r>
    </w:p>
    <w:p>
      <w:pPr>
        <w:pStyle w:val="ListParagraph"/>
        <w:numPr>
          <w:ilvl w:val="0"/>
          <w:numId w:val="2"/>
        </w:numPr>
        <w:spacing w:after="80"/>
      </w:pPr>
      <w:r>
        <w:rPr>
          <w:rFonts w:ascii="Arial" w:cs="Arial" w:eastAsia="Arial" w:hAnsi="Arial"/>
          <w:sz w:val="22"/>
          <w:szCs w:val="22"/>
        </w:rPr>
        <w:t xml:space="preserve">9,000+ Claude Code plugins across 43 marketplaces</w:t>
      </w:r>
    </w:p>
    <w:p>
      <w:pPr>
        <w:pStyle w:val="ListParagraph"/>
        <w:numPr>
          <w:ilvl w:val="0"/>
          <w:numId w:val="2"/>
        </w:numPr>
        <w:spacing w:after="80"/>
      </w:pPr>
      <w:r>
        <w:rPr>
          <w:rFonts w:ascii="Arial" w:cs="Arial" w:eastAsia="Arial" w:hAnsi="Arial"/>
          <w:sz w:val="22"/>
          <w:szCs w:val="22"/>
        </w:rPr>
        <w:t xml:space="preserve">Cowork marketplace launched February 2026 with role-specific skills (sales, marketing, legal, finance, engineering, design)</w:t>
      </w:r>
    </w:p>
    <w:p>
      <w:pPr>
        <w:pStyle w:val="ListParagraph"/>
        <w:numPr>
          <w:ilvl w:val="0"/>
          <w:numId w:val="2"/>
        </w:numPr>
        <w:spacing w:after="80"/>
      </w:pPr>
      <w:r>
        <w:rPr>
          <w:rFonts w:ascii="Arial" w:cs="Arial" w:eastAsia="Arial" w:hAnsi="Arial"/>
          <w:sz w:val="22"/>
          <w:szCs w:val="22"/>
        </w:rPr>
        <w:t xml:space="preserve">No approval gate for plugin distribution</w:t>
      </w:r>
    </w:p>
    <w:p>
      <w:pPr>
        <w:pStyle w:val="ListParagraph"/>
        <w:numPr>
          <w:ilvl w:val="0"/>
          <w:numId w:val="2"/>
        </w:numPr>
        <w:spacing w:after="80"/>
      </w:pPr>
      <w:r>
        <w:rPr>
          <w:rFonts w:ascii="Arial" w:cs="Arial" w:eastAsia="Arial" w:hAnsi="Arial"/>
          <w:sz w:val="22"/>
          <w:szCs w:val="22"/>
        </w:rPr>
        <w:t xml:space="preserve">41–68% of developers actively use Claude/Claude Code</w:t>
      </w:r>
    </w:p>
    <w:p>
      <w:pPr>
        <w:pStyle w:val="ListParagraph"/>
        <w:numPr>
          <w:ilvl w:val="0"/>
          <w:numId w:val="2"/>
        </w:numPr>
        <w:spacing w:after="80"/>
      </w:pPr>
      <w:r>
        <w:rPr>
          <w:rFonts w:ascii="Arial" w:cs="Arial" w:eastAsia="Arial" w:hAnsi="Arial"/>
          <w:sz w:val="22"/>
          <w:szCs w:val="22"/>
        </w:rPr>
        <w:t xml:space="preserve">70% of Fortune 100 use Claude; Anthropic reached $3B annualised revenue</w:t>
      </w:r>
    </w:p>
    <w:p>
      <w:pPr>
        <w:spacing w:after="120"/>
      </w:pPr>
      <w:r>
        <w:rPr>
          <w:rFonts w:ascii="Arial" w:cs="Arial" w:eastAsia="Arial" w:hAnsi="Arial"/>
          <w:b/>
          <w:bCs/>
          <w:sz w:val="22"/>
          <w:szCs w:val="22"/>
        </w:rPr>
        <w:t xml:space="preserve">Distribution opportunity: </w:t>
      </w:r>
      <w:r>
        <w:rPr>
          <w:rFonts w:ascii="Arial" w:cs="Arial" w:eastAsia="Arial" w:hAnsi="Arial"/>
          <w:sz w:val="22"/>
          <w:szCs w:val="22"/>
        </w:rPr>
        <w:t xml:space="preserve">The Sage Mentor’s two Cowork skills (sage-interpret, sage-consult) are already built. The session bridge is designed for the Cowork environment. The plugin ecosystem provides zero-friction distribution without needing Anthropic partnership or app store approval. This is the fastest path to market for the Sage Mentor.</w:t>
      </w:r>
    </w:p>
    <w:p>
      <w:r>
        <w:br w:type="page"/>
      </w:r>
    </w:p>
    <w:p>
      <w:pPr>
        <w:pStyle w:val="Heading1"/>
        <w:spacing w:after="200" w:before="300"/>
      </w:pPr>
      <w:r>
        <w:t xml:space="preserve">3. The Market Gap: Decision Quality Monitoring Does Not Exist</w:t>
      </w:r>
    </w:p>
    <w:p>
      <w:pPr>
        <w:spacing w:after="120"/>
      </w:pPr>
      <w:r>
        <w:rPr>
          <w:rFonts w:ascii="Arial" w:cs="Arial" w:eastAsia="Arial" w:hAnsi="Arial"/>
          <w:color w:val="000000"/>
          <w:sz w:val="22"/>
          <w:szCs w:val="22"/>
        </w:rPr>
        <w:t xml:space="preserve">This is the central finding of this addendum. Across all research conducted, no product explicitly monitors an individual’s decision quality over time with structured reasoning evaluation, pattern detection, and proactive counsel.</w:t>
      </w:r>
    </w:p>
    <w:p>
      <w:pPr>
        <w:pStyle w:val="Heading2"/>
        <w:spacing w:after="200" w:before="300"/>
      </w:pPr>
      <w:r>
        <w:t xml:space="preserve">3.1 What Exists in Adjacent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Monitors</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Misses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coaching (BetterUp, CoachHub, Valence)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Leadership competency scores, engagement metrics, session completion rates, retention impact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reasoning behind decisions. Whether a leader’s thinking improved or whether they just hit productivity KPIs.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intelligence (Aera, FICO)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Organisational decision outcomes: revenue impact, supply chain efficiency, risk reduction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Individual decision-maker quality. The platform optimises the system, not the person.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observability (Arize, Langfuse)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LLM output quality: latency, hallucination rate, error frequency, cost per call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Reasoning quality. An output can be factually correct but philosophically unsound (e.g., driven by fear rather than principled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guardrails (Galileo, NeMo)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 safety: toxic content, prompt injection, policy violations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Whether the reasoning that produced the output was principled. Guardrails block bad outputs; they don’t improve reasoning.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Journaling apps (Rosebud, Journey)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Emotional patterns, weekly themes, mood trends across entries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quality specifically. Rosebud analyses feelings; it doesn’t evaluate whether your decisions are getting more principled.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Journal (decisionjournalapp.com)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tracking with 30/60/90-day outcome review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Real-time reasoning evaluation. It records decisions after the fact; it doesn’t intervene at the point of decision.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Fitness trackers (Apple Health, Fitbit)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Physical health metrics: steps, heart rate, sleep quality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health. The “quantified self” movement has no equivalent for reasoning quality.</w:t>
            </w:r>
          </w:p>
        </w:tc>
      </w:tr>
    </w:tbl>
    <w:p>
      <w:pPr>
        <w:spacing w:after="200"/>
      </w:pPr>
    </w:p>
    <w:p>
      <w:pPr>
        <w:pStyle w:val="Heading2"/>
        <w:spacing w:after="200" w:before="300"/>
      </w:pPr>
      <w:r>
        <w:t xml:space="preserve">3.2 What the Sage Mentor Does That Nothing Else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Sage Mentor Capability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Closest Competitor</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Why It Falls Short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Before/after reasoning evaluation on live decisions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Microsoft Agent Governance Toolkit (April 2026)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Microsoft’s toolkit enforces policies deterministically. The Sage Mentor evaluates reasoning quality philosophically — it names specific passions, traces the causal sequence, and prescribes improvement.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Journal-based onboarding producing a rich starting profile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Rosebud.app (CBT/ACT pattern detection)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Rosebud detects emotional patterns. The Sage Mentor extracts a 7-dimension MentorProfile: passion map, causal tendencies, value hierarchy, oikeiosis map, virtue profile, Senecan grade, and preferred indifferents.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Persistent project status across sessions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Claude Cowork’s native memory (MEMORY.md)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Cowork remembers project facts. The Sage Mentor evaluates the reasoning quality of decisions about those projects.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Cross-session pattern detection (5 detectors)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BetterUp analytics dashboard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BetterUp tracks leadership competency scores. The Sage Mentor detects which passions recur in which decision domains, whether value-action consistency is improving, and which contexts consistently degrade reasoning quality.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Proactive morning/evening/weekly outputs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Google CC “Day Ahead” briefing; Rocky.ai daily coaching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Google CC briefings are operational (calendar, email). Rocky.ai coaching is habit-focused. The Sage Mentor’s outputs are reasoning-focused: “which passions might be operative today” (morning), “what did your reasoning look like today” (evening), “here’s your pattern this week” (mirror).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Personal accreditation card tracking reasoning quality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Digital badge ecosystems (Credly, 320M+ badges issued)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Badges certify one-time achievement. The accreditation card tracks continuous reasoning quality with 4 dimensions and direction of travel. If reasoning degrades, the card reflects 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Ring architecture wrapping any inner agent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agent governance middleware (nascent)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Governance middleware enforces rules. The ring evaluates reasoning quality and generates coaching revenue from every inner agent’s actions.</w:t>
            </w:r>
          </w:p>
        </w:tc>
      </w:tr>
    </w:tbl>
    <w:p>
      <w:r>
        <w:br w:type="page"/>
      </w:r>
    </w:p>
    <w:p>
      <w:pPr>
        <w:pStyle w:val="Heading1"/>
        <w:spacing w:after="200" w:before="300"/>
      </w:pPr>
      <w:r>
        <w:t xml:space="preserve">4. Customer Segments</w:t>
      </w:r>
    </w:p>
    <w:p>
      <w:pPr>
        <w:pStyle w:val="Heading2"/>
        <w:spacing w:after="200" w:before="300"/>
      </w:pPr>
      <w:r>
        <w:t xml:space="preserve">4.1 Primary Segment: Founders and Solo Operators</w:t>
      </w:r>
    </w:p>
    <w:p>
      <w:pPr>
        <w:spacing w:after="120"/>
      </w:pPr>
      <w:r>
        <w:rPr>
          <w:rFonts w:ascii="Arial" w:cs="Arial" w:eastAsia="Arial" w:hAnsi="Arial"/>
          <w:b/>
          <w:bCs/>
          <w:sz w:val="22"/>
          <w:szCs w:val="22"/>
        </w:rPr>
        <w:t xml:space="preserve">Profile: </w:t>
      </w:r>
      <w:r>
        <w:rPr>
          <w:rFonts w:ascii="Arial" w:cs="Arial" w:eastAsia="Arial" w:hAnsi="Arial"/>
          <w:sz w:val="22"/>
          <w:szCs w:val="22"/>
        </w:rPr>
        <w:t xml:space="preserve">Solo founders, indie hackers, and small-team operators who use Claude Cowork as their primary work environment and make high-stakes decisions (architecture, pricing, positioning, partnerships, scope) multiple times per week without a co-founder, board, or advisory team to check their reasoning.</w:t>
      </w:r>
    </w:p>
    <w:p>
      <w:pPr>
        <w:spacing w:after="120"/>
      </w:pPr>
      <w:r>
        <w:rPr>
          <w:rFonts w:ascii="Arial" w:cs="Arial" w:eastAsia="Arial" w:hAnsi="Arial"/>
          <w:b/>
          <w:bCs/>
          <w:sz w:val="22"/>
          <w:szCs w:val="22"/>
        </w:rPr>
        <w:t xml:space="preserve">Pain point: </w:t>
      </w:r>
      <w:r>
        <w:rPr>
          <w:rFonts w:ascii="Arial" w:cs="Arial" w:eastAsia="Arial" w:hAnsi="Arial"/>
          <w:sz w:val="22"/>
          <w:szCs w:val="22"/>
        </w:rPr>
        <w:t xml:space="preserve">No external check on strategic reasoning quality. Decisions are made under pressure, influenced by passions (fear of competitors, appetite for growth, frustration with pace), and rarely reviewed for quality after the fact. The founder only discovers a bad reasoning pattern when its consequences arrive.</w:t>
      </w:r>
    </w:p>
    <w:p>
      <w:pPr>
        <w:spacing w:after="120"/>
      </w:pPr>
      <w:r>
        <w:rPr>
          <w:rFonts w:ascii="Arial" w:cs="Arial" w:eastAsia="Arial" w:hAnsi="Arial"/>
          <w:b/>
          <w:bCs/>
          <w:sz w:val="22"/>
          <w:szCs w:val="22"/>
        </w:rPr>
        <w:t xml:space="preserve">Why the Sage Mentor: </w:t>
      </w:r>
      <w:r>
        <w:rPr>
          <w:rFonts w:ascii="Arial" w:cs="Arial" w:eastAsia="Arial" w:hAnsi="Arial"/>
          <w:sz w:val="22"/>
          <w:szCs w:val="22"/>
        </w:rPr>
        <w:t xml:space="preserve">Provides the “co-founder who never sleeps.” Persistent project context means it understands the business. Before/after reasoning checks catch passion-driven decisions in real time. Cross-session pattern detection surfaces blind spots the founder cannot see. The journal-based onboarding means the mentor knows the founder’s tendencies from day one.</w:t>
      </w:r>
    </w:p>
    <w:p>
      <w:pPr>
        <w:spacing w:after="120"/>
      </w:pPr>
      <w:r>
        <w:rPr>
          <w:rFonts w:ascii="Arial" w:cs="Arial" w:eastAsia="Arial" w:hAnsi="Arial"/>
          <w:b/>
          <w:bCs/>
          <w:sz w:val="22"/>
          <w:szCs w:val="22"/>
        </w:rPr>
        <w:t xml:space="preserve">Willingness to pay: </w:t>
      </w:r>
      <w:r>
        <w:rPr>
          <w:rFonts w:ascii="Arial" w:cs="Arial" w:eastAsia="Arial" w:hAnsi="Arial"/>
          <w:sz w:val="22"/>
          <w:szCs w:val="22"/>
        </w:rPr>
        <w:t xml:space="preserve">High for tools that demonstrably improve decision quality. Founders spend $100–200/month on Claude Max. A Sage Mentor plugin at $30–50/month (or included in an existing subscription model) is within budget for someone who spends 8+ hours/day in Cowork.</w:t>
      </w:r>
    </w:p>
    <w:p>
      <w:pPr>
        <w:spacing w:after="120"/>
      </w:pPr>
      <w:r>
        <w:rPr>
          <w:rFonts w:ascii="Arial" w:cs="Arial" w:eastAsia="Arial" w:hAnsi="Arial"/>
          <w:b/>
          <w:bCs/>
          <w:sz w:val="22"/>
          <w:szCs w:val="22"/>
        </w:rPr>
        <w:t xml:space="preserve">Addressable size: </w:t>
      </w:r>
      <w:r>
        <w:rPr>
          <w:rFonts w:ascii="Arial" w:cs="Arial" w:eastAsia="Arial" w:hAnsi="Arial"/>
          <w:sz w:val="22"/>
          <w:szCs w:val="22"/>
        </w:rPr>
        <w:t xml:space="preserve">Claude Cowork has reached 70% of Fortune 100. The solo founder and small-team segment is larger by headcount. Estimated tens of thousands of daily Cowork users making strategic decisions.</w:t>
      </w:r>
    </w:p>
    <w:p>
      <w:pPr>
        <w:pStyle w:val="Heading2"/>
        <w:spacing w:after="200" w:before="300"/>
      </w:pPr>
      <w:r>
        <w:t xml:space="preserve">4.2 Secondary Segment: Executive Decision-Makers</w:t>
      </w:r>
    </w:p>
    <w:p>
      <w:pPr>
        <w:spacing w:after="120"/>
      </w:pPr>
      <w:r>
        <w:rPr>
          <w:rFonts w:ascii="Arial" w:cs="Arial" w:eastAsia="Arial" w:hAnsi="Arial"/>
          <w:b/>
          <w:bCs/>
          <w:sz w:val="22"/>
          <w:szCs w:val="22"/>
        </w:rPr>
        <w:t xml:space="preserve">Profile: </w:t>
      </w:r>
      <w:r>
        <w:rPr>
          <w:rFonts w:ascii="Arial" w:cs="Arial" w:eastAsia="Arial" w:hAnsi="Arial"/>
          <w:sz w:val="22"/>
          <w:szCs w:val="22"/>
        </w:rPr>
        <w:t xml:space="preserve">C-suite executives and senior leaders in organisations that already spend $5,000–$30,000 per person on human coaching. They want continuous decision support, not periodic coaching sessions.</w:t>
      </w:r>
    </w:p>
    <w:p>
      <w:pPr>
        <w:spacing w:after="120"/>
      </w:pPr>
      <w:r>
        <w:rPr>
          <w:rFonts w:ascii="Arial" w:cs="Arial" w:eastAsia="Arial" w:hAnsi="Arial"/>
          <w:b/>
          <w:bCs/>
          <w:sz w:val="22"/>
          <w:szCs w:val="22"/>
        </w:rPr>
        <w:t xml:space="preserve">Pain point: </w:t>
      </w:r>
      <w:r>
        <w:rPr>
          <w:rFonts w:ascii="Arial" w:cs="Arial" w:eastAsia="Arial" w:hAnsi="Arial"/>
          <w:sz w:val="22"/>
          <w:szCs w:val="22"/>
        </w:rPr>
        <w:t xml:space="preserve">Human coaching happens in scheduled sessions (weekly or fortnightly). Strategic decisions happen every day. The gap between coaching sessions is where reasoning quality degrades without oversight. 91% of CEOs identify systematic decision-making as the most critical competency, yet no tool monitors it continuously.</w:t>
      </w:r>
    </w:p>
    <w:p>
      <w:pPr>
        <w:spacing w:after="120"/>
      </w:pPr>
      <w:r>
        <w:rPr>
          <w:rFonts w:ascii="Arial" w:cs="Arial" w:eastAsia="Arial" w:hAnsi="Arial"/>
          <w:b/>
          <w:bCs/>
          <w:sz w:val="22"/>
          <w:szCs w:val="22"/>
        </w:rPr>
        <w:t xml:space="preserve">Why the Sage Mentor: </w:t>
      </w:r>
      <w:r>
        <w:rPr>
          <w:rFonts w:ascii="Arial" w:cs="Arial" w:eastAsia="Arial" w:hAnsi="Arial"/>
          <w:sz w:val="22"/>
          <w:szCs w:val="22"/>
        </w:rPr>
        <w:t xml:space="preserve">Fills the gap between coaching sessions. Operates at 1/10th to 1/100th the cost of a human coach ($50–150/month vs. $2,000+/month). Provides the continuous monitoring that human coaches cannot: every strategic decision, every day, with pattern detection across weeks and months.</w:t>
      </w:r>
    </w:p>
    <w:p>
      <w:pPr>
        <w:spacing w:after="120"/>
      </w:pPr>
      <w:r>
        <w:rPr>
          <w:rFonts w:ascii="Arial" w:cs="Arial" w:eastAsia="Arial" w:hAnsi="Arial"/>
          <w:b/>
          <w:bCs/>
          <w:sz w:val="22"/>
          <w:szCs w:val="22"/>
        </w:rPr>
        <w:t xml:space="preserve">Willingness to pay: </w:t>
      </w:r>
      <w:r>
        <w:rPr>
          <w:rFonts w:ascii="Arial" w:cs="Arial" w:eastAsia="Arial" w:hAnsi="Arial"/>
          <w:sz w:val="22"/>
          <w:szCs w:val="22"/>
        </w:rPr>
        <w:t xml:space="preserve">Very high. Organisations with $355,000 average annual coaching spend (Fortune 1000) would view $50–150/user/month as rounding error.</w:t>
      </w:r>
    </w:p>
    <w:p>
      <w:pPr>
        <w:spacing w:after="120"/>
      </w:pPr>
      <w:r>
        <w:rPr>
          <w:rFonts w:ascii="Arial" w:cs="Arial" w:eastAsia="Arial" w:hAnsi="Arial"/>
          <w:b/>
          <w:bCs/>
          <w:sz w:val="22"/>
          <w:szCs w:val="22"/>
        </w:rPr>
        <w:t xml:space="preserve">Addressable size: </w:t>
      </w:r>
      <w:r>
        <w:rPr>
          <w:rFonts w:ascii="Arial" w:cs="Arial" w:eastAsia="Arial" w:hAnsi="Arial"/>
          <w:sz w:val="22"/>
          <w:szCs w:val="22"/>
        </w:rPr>
        <w:t xml:space="preserve">Executive coaching market is $113B. AI coaching platforms have captured $1B+ of this. Even a 0.01% share represents meaningful revenue.</w:t>
      </w:r>
    </w:p>
    <w:p>
      <w:pPr>
        <w:pStyle w:val="Heading2"/>
        <w:spacing w:after="200" w:before="300"/>
      </w:pPr>
      <w:r>
        <w:t xml:space="preserve">4.3 Tertiary Segment: AI Agent Platform Operators</w:t>
      </w:r>
    </w:p>
    <w:p>
      <w:pPr>
        <w:spacing w:after="120"/>
      </w:pPr>
      <w:r>
        <w:rPr>
          <w:rFonts w:ascii="Arial" w:cs="Arial" w:eastAsia="Arial" w:hAnsi="Arial"/>
          <w:b/>
          <w:bCs/>
          <w:sz w:val="22"/>
          <w:szCs w:val="22"/>
        </w:rPr>
        <w:t xml:space="preserve">Profile: </w:t>
      </w:r>
      <w:r>
        <w:rPr>
          <w:rFonts w:ascii="Arial" w:cs="Arial" w:eastAsia="Arial" w:hAnsi="Arial"/>
          <w:sz w:val="22"/>
          <w:szCs w:val="22"/>
        </w:rPr>
        <w:t xml:space="preserve">Teams that deploy multiple AI agents and need quality oversight across all of them. The ring architecture means every agent generates reasoning evaluation calls.</w:t>
      </w:r>
    </w:p>
    <w:p>
      <w:pPr>
        <w:spacing w:after="120"/>
      </w:pPr>
      <w:r>
        <w:rPr>
          <w:rFonts w:ascii="Arial" w:cs="Arial" w:eastAsia="Arial" w:hAnsi="Arial"/>
          <w:b/>
          <w:bCs/>
          <w:sz w:val="22"/>
          <w:szCs w:val="22"/>
        </w:rPr>
        <w:t xml:space="preserve">Pain point: </w:t>
      </w:r>
      <w:r>
        <w:rPr>
          <w:rFonts w:ascii="Arial" w:cs="Arial" w:eastAsia="Arial" w:hAnsi="Arial"/>
          <w:sz w:val="22"/>
          <w:szCs w:val="22"/>
        </w:rPr>
        <w:t xml:space="preserve">Agent quality monitoring is operational (latency, errors, hallucinations) but not reasoning-focused. When an agent makes a questionable decision, the observability tool flags that the output was unusual; it cannot explain whether the reasoning was principled or passion-driven.</w:t>
      </w:r>
    </w:p>
    <w:p>
      <w:pPr>
        <w:spacing w:after="120"/>
      </w:pPr>
      <w:r>
        <w:rPr>
          <w:rFonts w:ascii="Arial" w:cs="Arial" w:eastAsia="Arial" w:hAnsi="Arial"/>
          <w:b/>
          <w:bCs/>
          <w:sz w:val="22"/>
          <w:szCs w:val="22"/>
        </w:rPr>
        <w:t xml:space="preserve">Why the Sage Mentor: </w:t>
      </w:r>
      <w:r>
        <w:rPr>
          <w:rFonts w:ascii="Arial" w:cs="Arial" w:eastAsia="Arial" w:hAnsi="Arial"/>
          <w:sz w:val="22"/>
          <w:szCs w:val="22"/>
        </w:rPr>
        <w:t xml:space="preserve">The ring wraps all inner agents. Each agent’s actions are evaluated through the 4-stage sequence. The authority manager tracks each agent’s reasoning quality independently. Developers see which agents are improving and which are degrading.</w:t>
      </w:r>
    </w:p>
    <w:p>
      <w:pPr>
        <w:spacing w:after="120"/>
      </w:pPr>
      <w:r>
        <w:rPr>
          <w:rFonts w:ascii="Arial" w:cs="Arial" w:eastAsia="Arial" w:hAnsi="Arial"/>
          <w:b/>
          <w:bCs/>
          <w:sz w:val="22"/>
          <w:szCs w:val="22"/>
        </w:rPr>
        <w:t xml:space="preserve">Willingness to pay: </w:t>
      </w:r>
      <w:r>
        <w:rPr>
          <w:rFonts w:ascii="Arial" w:cs="Arial" w:eastAsia="Arial" w:hAnsi="Arial"/>
          <w:sz w:val="22"/>
          <w:szCs w:val="22"/>
        </w:rPr>
        <w:t xml:space="preserve">Medium-high. Per-call pricing ($0.001–$0.05 per evaluation) with volume scaling. Revenue grows proportionally with the number of inner agents.</w:t>
      </w:r>
    </w:p>
    <w:p>
      <w:r>
        <w:br w:type="page"/>
      </w:r>
    </w:p>
    <w:p>
      <w:pPr>
        <w:pStyle w:val="Heading1"/>
        <w:spacing w:after="200" w:before="300"/>
      </w:pPr>
      <w:r>
        <w:t xml:space="preserve">5. Competitive Positioning</w:t>
      </w:r>
    </w:p>
    <w:p>
      <w:pPr>
        <w:pStyle w:val="Heading2"/>
        <w:spacing w:after="200" w:before="300"/>
      </w:pPr>
      <w:r>
        <w:t xml:space="preserve">5.1 The Category the Sage Mentor Creates</w:t>
      </w:r>
    </w:p>
    <w:p>
      <w:pPr>
        <w:spacing w:after="120"/>
      </w:pPr>
      <w:r>
        <w:rPr>
          <w:rFonts w:ascii="Arial" w:cs="Arial" w:eastAsia="Arial" w:hAnsi="Arial"/>
          <w:color w:val="000000"/>
          <w:sz w:val="22"/>
          <w:szCs w:val="22"/>
        </w:rPr>
        <w:t xml:space="preserve">The Sage Mentor does not compete in an existing category. It creates one: persistent decision quality monitoring with philosophical reasoning evaluation. The positioning map below shows why no existing product occupies this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00"/>
        <w:gridCol w:w="1700"/>
        <w:gridCol w:w="1260"/>
      </w:tblGrid>
      <w:tr>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AI Coach (BetterUp)</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AI Chief of Staff (Alfred)</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AI Companion (Kin)</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Decision Intelligence (Aera)</w:t>
            </w:r>
          </w:p>
        </w:tc>
        <w:tc>
          <w:tcPr>
            <w:tcW w:type="dxa" w:w="1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Sage Mentor</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Primary 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Professional development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Operational efficiency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Emotional companionship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optimisation</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reasoning quality</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Memory model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Session notes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Calendar + email context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Conversation history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Organisational data</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7-dimension MentorProfile + journal + project status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Evaluation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Competency assessments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Task completion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Relationship depth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Outcome metrics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4-stage Stoic evaluation (prohairesis → kathekon → passion → virtue)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Time horizon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 session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 day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 conversation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 decision cycle</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Longitudinal (months/years)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Improvement path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Coaching exercises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Calendar optimisation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Deeper conversation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Better data models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Prescribed progression toolkit (7 pathways, 9 tools)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Self-reinforcing loop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(sessions are discrete)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Yes (relationship deepens)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Partial (models improve)</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Yes (profile deepens, patterns sharpen, prescriptions refine)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Governance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governance rules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R1–R13 manifest: source fidelity, no therapeutic claims, disclaimers, IP protection</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Pricing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$200–5,000+/user/year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$24.99/month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disclosed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 custom</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$30–150/month (projected)</w:t>
            </w:r>
          </w:p>
        </w:tc>
      </w:tr>
    </w:tbl>
    <w:p>
      <w:pPr>
        <w:spacing w:after="200"/>
      </w:pPr>
    </w:p>
    <w:p>
      <w:pPr>
        <w:pStyle w:val="Heading2"/>
        <w:spacing w:after="200" w:before="300"/>
      </w:pPr>
      <w:r>
        <w:t xml:space="preserve">5.2 The Moat Compounds Over Time</w:t>
      </w:r>
    </w:p>
    <w:p>
      <w:pPr>
        <w:spacing w:after="120"/>
      </w:pPr>
      <w:r>
        <w:rPr>
          <w:rFonts w:ascii="Arial" w:cs="Arial" w:eastAsia="Arial" w:hAnsi="Arial"/>
          <w:color w:val="000000"/>
          <w:sz w:val="22"/>
          <w:szCs w:val="22"/>
        </w:rPr>
        <w:t xml:space="preserve">The Sage Mentor has a compounding moat that no competitor can replicate quickly:</w:t>
      </w:r>
    </w:p>
    <w:p>
      <w:pPr>
        <w:pStyle w:val="ListParagraph"/>
        <w:numPr>
          <w:ilvl w:val="0"/>
          <w:numId w:val="2"/>
        </w:numPr>
        <w:spacing w:after="80"/>
      </w:pPr>
      <w:r>
        <w:rPr>
          <w:rFonts w:ascii="Arial" w:cs="Arial" w:eastAsia="Arial" w:hAnsi="Arial"/>
          <w:sz w:val="22"/>
          <w:szCs w:val="22"/>
        </w:rPr>
        <w:t xml:space="preserve">Month 1: Journal ingestion creates a rich starting profile. The mentor knows the user’s passion patterns, causal tendencies, value hierarchy, oikeiosis map, and Senecan grade from day one.</w:t>
      </w:r>
    </w:p>
    <w:p>
      <w:pPr>
        <w:pStyle w:val="ListParagraph"/>
        <w:numPr>
          <w:ilvl w:val="0"/>
          <w:numId w:val="2"/>
        </w:numPr>
        <w:spacing w:after="80"/>
      </w:pPr>
      <w:r>
        <w:rPr>
          <w:rFonts w:ascii="Arial" w:cs="Arial" w:eastAsia="Arial" w:hAnsi="Arial"/>
          <w:sz w:val="22"/>
          <w:szCs w:val="22"/>
        </w:rPr>
        <w:t xml:space="preserve">Month 3: The rolling evaluation window has 50+ decisions tracked. Cross-session pattern detection surfaces the first strategic blind spots. The founder receives their first weekly pattern mirror.</w:t>
      </w:r>
    </w:p>
    <w:p>
      <w:pPr>
        <w:pStyle w:val="ListParagraph"/>
        <w:numPr>
          <w:ilvl w:val="0"/>
          <w:numId w:val="2"/>
        </w:numPr>
        <w:spacing w:after="80"/>
      </w:pPr>
      <w:r>
        <w:rPr>
          <w:rFonts w:ascii="Arial" w:cs="Arial" w:eastAsia="Arial" w:hAnsi="Arial"/>
          <w:sz w:val="22"/>
          <w:szCs w:val="22"/>
        </w:rPr>
        <w:t xml:space="preserve">Month 6: The longitudinal profile is deep enough that the mentor can reference specific past decisions naturally. “You faced something similar in February and your reasoning was stronger then — what changed?” This is the point where switching away means losing 6 months of reasoning history.</w:t>
      </w:r>
    </w:p>
    <w:p>
      <w:pPr>
        <w:pStyle w:val="ListParagraph"/>
        <w:numPr>
          <w:ilvl w:val="0"/>
          <w:numId w:val="2"/>
        </w:numPr>
        <w:spacing w:after="80"/>
      </w:pPr>
      <w:r>
        <w:rPr>
          <w:rFonts w:ascii="Arial" w:cs="Arial" w:eastAsia="Arial" w:hAnsi="Arial"/>
          <w:sz w:val="22"/>
          <w:szCs w:val="22"/>
        </w:rPr>
        <w:t xml:space="preserve">Month 12: The accreditation card shows a clear trajectory. The founder can see quantified (but qualitative) evidence that their decision-making is more principled than it was a year ago. The mentor has detected patterns the founder cannot see.</w:t>
      </w:r>
    </w:p>
    <w:p>
      <w:pPr>
        <w:spacing w:after="120"/>
      </w:pPr>
      <w:r>
        <w:rPr>
          <w:rFonts w:ascii="Arial" w:cs="Arial" w:eastAsia="Arial" w:hAnsi="Arial"/>
          <w:b/>
          <w:bCs/>
          <w:sz w:val="22"/>
          <w:szCs w:val="22"/>
        </w:rPr>
        <w:t xml:space="preserve">Lock-in through value: </w:t>
      </w:r>
      <w:r>
        <w:rPr>
          <w:rFonts w:ascii="Arial" w:cs="Arial" w:eastAsia="Arial" w:hAnsi="Arial"/>
          <w:sz w:val="22"/>
          <w:szCs w:val="22"/>
        </w:rPr>
        <w:t xml:space="preserve">Every month the mentor becomes more valuable because the profile is deeper. This is not artificial switching cost; it is genuine accumulated understanding. A new competitor starting from scratch would need 6–12 months to reach the same depth of understanding. And if the competitor lacks the Stoic Brain’s 25-species passion taxonomy, 4-stage evaluation sequence, and source-cited data files, it cannot reach the same depth ever.</w:t>
      </w:r>
    </w:p>
    <w:p>
      <w:r>
        <w:br w:type="page"/>
      </w:r>
    </w:p>
    <w:p>
      <w:pPr>
        <w:pStyle w:val="Heading1"/>
        <w:spacing w:after="200" w:before="300"/>
      </w:pPr>
      <w:r>
        <w:t xml:space="preserve">6. Opportunity Assessment</w:t>
      </w:r>
    </w:p>
    <w:p>
      <w:pPr>
        <w:pStyle w:val="Heading2"/>
        <w:spacing w:after="200" w:before="300"/>
      </w:pPr>
      <w:r>
        <w:t xml:space="preserve">6.1 Viability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Market size</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$113B executive coaching (9.1% CAGR) + $9.7B decision intelligence (19.6% CAGR). The Sage Mentor sits at the intersection of both.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Competitive gap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product monitors individual decision quality longitudinally with philosophical reasoning evaluation. Category-creating opportunity.</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Build readiness</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17 TypeScript modules built. Session bridge coded (1,093 lines). 2 Cowork skills created. Supabase schema drafted. 90% built, pending wiring.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Revenue model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Ring architecture: every inner agent generates evaluation calls. Journal ingestion (one-time). Proactive outputs (recurring). Accreditation (recurring). Progression toolkit (coaching revenue).</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Distribution</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Claude Cowork plugin ecosystem: no-approval, zero-friction, 70% Fortune 100 already using Claude. Sage-consult and sage-interpret skills already built.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Customer validation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3333"/>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paying customers. No user testing data. The concept of “decision quality monitoring” has not been market-tested.</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Category risk</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Creating a new category requires educating the market. Customers may not know they need decision quality monitoring until they experience 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Solo founder fit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Plugin distribution is self-serve. No enterprise sales needed for early adopters. The founder IS the first customer (dog-fooding via own Cowork sessions).</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Mythos resilience</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Smarter models make the ring more valuable, not less. The evaluation layer benefits from better model reasoning. The longitudinal profile and source-cited data are model-agnostic.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Compounding moat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Profile deepens over time. Lock-in through genuine value. 6–12 months of history cannot be replicated. Stoic Brain dataset is unreplicable.</w:t>
            </w:r>
          </w:p>
        </w:tc>
      </w:tr>
    </w:tbl>
    <w:p>
      <w:pPr>
        <w:spacing w:after="300"/>
      </w:pPr>
    </w:p>
    <w:p>
      <w:pPr>
        <w:pStyle w:val="Heading2"/>
        <w:spacing w:after="200" w:before="300"/>
      </w:pPr>
      <w:r>
        <w:t xml:space="preserve">6.2 Comparison with Original Three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Agent Trust Layer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Human Tools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API Marketplace</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Sage Mentor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Overall rating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Moderate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Strongest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Market size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$352–418M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$50–200M (Stoic segment)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$10.8B (agent market)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$113B + $9.7B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Competitive gap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 (no agent cert.)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 (crowded)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 (unproven need)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Highest (category empty)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Build readiness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Revenue per customer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Per-call 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$50–100/year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Per-call API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Subscription + ring + toolkit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Customer validation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None (but founder is customer zero)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Solo founder fit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 (B2B sales)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 (self-serve)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 (API)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Highest (Cowork plugin + dog-food)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Compounding moat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Very high (longitudinal profile)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Mythos resilience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r>
    </w:tbl>
    <w:p>
      <w:r>
        <w:br w:type="page"/>
      </w:r>
    </w:p>
    <w:p>
      <w:pPr>
        <w:pStyle w:val="Heading1"/>
        <w:spacing w:after="200" w:before="300"/>
      </w:pPr>
      <w:r>
        <w:t xml:space="preserve">7. Go-to-Market Strategy</w:t>
      </w:r>
    </w:p>
    <w:p>
      <w:pPr>
        <w:pStyle w:val="Heading2"/>
        <w:spacing w:after="200" w:before="300"/>
      </w:pPr>
      <w:r>
        <w:t xml:space="preserve">7.1 Phase 0: Dog-Food (Immediate)</w:t>
      </w:r>
    </w:p>
    <w:p>
      <w:pPr>
        <w:spacing w:after="120"/>
      </w:pPr>
      <w:r>
        <w:rPr>
          <w:rFonts w:ascii="Arial" w:cs="Arial" w:eastAsia="Arial" w:hAnsi="Arial"/>
          <w:color w:val="000000"/>
          <w:sz w:val="22"/>
          <w:szCs w:val="22"/>
        </w:rPr>
        <w:t xml:space="preserve">The founder is the first customer. Wire the session bridge to the live environment, run the Supabase migration, and begin using the Sage Mentor in daily Cowork sessions. This provides:</w:t>
      </w:r>
    </w:p>
    <w:p>
      <w:pPr>
        <w:pStyle w:val="ListParagraph"/>
        <w:numPr>
          <w:ilvl w:val="0"/>
          <w:numId w:val="2"/>
        </w:numPr>
        <w:spacing w:after="80"/>
      </w:pPr>
      <w:r>
        <w:rPr>
          <w:rFonts w:ascii="Arial" w:cs="Arial" w:eastAsia="Arial" w:hAnsi="Arial"/>
          <w:sz w:val="22"/>
          <w:szCs w:val="22"/>
        </w:rPr>
        <w:t xml:space="preserve">Real-world testing of the classification gate, before/after evaluation quality, and proactive outputs</w:t>
      </w:r>
    </w:p>
    <w:p>
      <w:pPr>
        <w:pStyle w:val="ListParagraph"/>
        <w:numPr>
          <w:ilvl w:val="0"/>
          <w:numId w:val="2"/>
        </w:numPr>
        <w:spacing w:after="80"/>
      </w:pPr>
      <w:r>
        <w:rPr>
          <w:rFonts w:ascii="Arial" w:cs="Arial" w:eastAsia="Arial" w:hAnsi="Arial"/>
          <w:sz w:val="22"/>
          <w:szCs w:val="22"/>
        </w:rPr>
        <w:t xml:space="preserve">A growing personal MentorProfile that demonstrates the product’s value over time</w:t>
      </w:r>
    </w:p>
    <w:p>
      <w:pPr>
        <w:pStyle w:val="ListParagraph"/>
        <w:numPr>
          <w:ilvl w:val="0"/>
          <w:numId w:val="2"/>
        </w:numPr>
        <w:spacing w:after="80"/>
      </w:pPr>
      <w:r>
        <w:rPr>
          <w:rFonts w:ascii="Arial" w:cs="Arial" w:eastAsia="Arial" w:hAnsi="Arial"/>
          <w:sz w:val="22"/>
          <w:szCs w:val="22"/>
        </w:rPr>
        <w:t xml:space="preserve">Concrete case study material (“I used the Sage Mentor for 90 days and here is what it found about my decision-making”)</w:t>
      </w:r>
    </w:p>
    <w:p>
      <w:pPr>
        <w:pStyle w:val="ListParagraph"/>
        <w:numPr>
          <w:ilvl w:val="0"/>
          <w:numId w:val="2"/>
        </w:numPr>
        <w:spacing w:after="80"/>
      </w:pPr>
      <w:r>
        <w:rPr>
          <w:rFonts w:ascii="Arial" w:cs="Arial" w:eastAsia="Arial" w:hAnsi="Arial"/>
          <w:sz w:val="22"/>
          <w:szCs w:val="22"/>
        </w:rPr>
        <w:t xml:space="preserve">Bug discovery and UX refinement before external distribution</w:t>
      </w:r>
    </w:p>
    <w:p>
      <w:pPr>
        <w:pStyle w:val="Heading2"/>
        <w:spacing w:after="200" w:before="300"/>
      </w:pPr>
      <w:r>
        <w:t xml:space="preserve">7.2 Phase 1: Cowork Plugin Distribution (Q2–Q3 2026)</w:t>
      </w:r>
    </w:p>
    <w:p>
      <w:pPr>
        <w:spacing w:after="120"/>
      </w:pPr>
      <w:r>
        <w:rPr>
          <w:rFonts w:ascii="Arial" w:cs="Arial" w:eastAsia="Arial" w:hAnsi="Arial"/>
          <w:color w:val="000000"/>
          <w:sz w:val="22"/>
          <w:szCs w:val="22"/>
        </w:rPr>
        <w:t xml:space="preserve">Package the sage-consult and sage-interpret Cowork skills into a distributable plugin. Launch in the Cowork marketplace. Target: founders and solo operators who use Cowork as their primary work environment.</w:t>
      </w:r>
    </w:p>
    <w:p>
      <w:pPr>
        <w:pStyle w:val="ListParagraph"/>
        <w:numPr>
          <w:ilvl w:val="0"/>
          <w:numId w:val="2"/>
        </w:numPr>
        <w:spacing w:after="80"/>
      </w:pPr>
      <w:r>
        <w:rPr>
          <w:rFonts w:ascii="Arial" w:cs="Arial" w:eastAsia="Arial" w:hAnsi="Arial"/>
          <w:sz w:val="22"/>
          <w:szCs w:val="22"/>
        </w:rPr>
        <w:t xml:space="preserve">No approval gate required for distribution</w:t>
      </w:r>
    </w:p>
    <w:p>
      <w:pPr>
        <w:pStyle w:val="ListParagraph"/>
        <w:numPr>
          <w:ilvl w:val="0"/>
          <w:numId w:val="2"/>
        </w:numPr>
        <w:spacing w:after="80"/>
      </w:pPr>
      <w:r>
        <w:rPr>
          <w:rFonts w:ascii="Arial" w:cs="Arial" w:eastAsia="Arial" w:hAnsi="Arial"/>
          <w:sz w:val="22"/>
          <w:szCs w:val="22"/>
        </w:rPr>
        <w:t xml:space="preserve">Free tier: observer mode (batch evaluation at end of session). Enough to demonstrate value.</w:t>
      </w:r>
    </w:p>
    <w:p>
      <w:pPr>
        <w:pStyle w:val="ListParagraph"/>
        <w:numPr>
          <w:ilvl w:val="0"/>
          <w:numId w:val="2"/>
        </w:numPr>
        <w:spacing w:after="80"/>
      </w:pPr>
      <w:r>
        <w:rPr>
          <w:rFonts w:ascii="Arial" w:cs="Arial" w:eastAsia="Arial" w:hAnsi="Arial"/>
          <w:sz w:val="22"/>
          <w:szCs w:val="22"/>
        </w:rPr>
        <w:t xml:space="preserve">Paid tier: consultant mode (on-demand mid-session evaluation) + companion mode (live monitoring) + proactive outputs (morning/evening/weekly). $30–50/month.</w:t>
      </w:r>
    </w:p>
    <w:p>
      <w:pPr>
        <w:pStyle w:val="ListParagraph"/>
        <w:numPr>
          <w:ilvl w:val="0"/>
          <w:numId w:val="2"/>
        </w:numPr>
        <w:spacing w:after="80"/>
      </w:pPr>
      <w:r>
        <w:rPr>
          <w:rFonts w:ascii="Arial" w:cs="Arial" w:eastAsia="Arial" w:hAnsi="Arial"/>
          <w:sz w:val="22"/>
          <w:szCs w:val="22"/>
        </w:rPr>
        <w:t xml:space="preserve">Journal ingestion as a premium onboarding feature ($50–100 one-time or included in annual plan)</w:t>
      </w:r>
    </w:p>
    <w:p>
      <w:pPr>
        <w:pStyle w:val="Heading2"/>
        <w:spacing w:after="200" w:before="300"/>
      </w:pPr>
      <w:r>
        <w:t xml:space="preserve">7.3 Phase 2: Community and Case Studies (Q3 2026)</w:t>
      </w:r>
    </w:p>
    <w:p>
      <w:pPr>
        <w:spacing w:after="120"/>
      </w:pPr>
      <w:r>
        <w:rPr>
          <w:rFonts w:ascii="Arial" w:cs="Arial" w:eastAsia="Arial" w:hAnsi="Arial"/>
          <w:color w:val="000000"/>
          <w:sz w:val="22"/>
          <w:szCs w:val="22"/>
        </w:rPr>
        <w:t xml:space="preserve">Publish the founder’s own Sage Mentor experience as content. Recruit 10–20 beta users from the Cowork user community. Collect decision quality improvement data.</w:t>
      </w:r>
    </w:p>
    <w:p>
      <w:pPr>
        <w:pStyle w:val="ListParagraph"/>
        <w:numPr>
          <w:ilvl w:val="0"/>
          <w:numId w:val="2"/>
        </w:numPr>
        <w:spacing w:after="80"/>
      </w:pPr>
      <w:r>
        <w:rPr>
          <w:rFonts w:ascii="Arial" w:cs="Arial" w:eastAsia="Arial" w:hAnsi="Arial"/>
          <w:sz w:val="22"/>
          <w:szCs w:val="22"/>
        </w:rPr>
        <w:t xml:space="preserve">Blog posts: “What my AI philosophical mentor discovered about my decision-making in 90 days”</w:t>
      </w:r>
    </w:p>
    <w:p>
      <w:pPr>
        <w:pStyle w:val="ListParagraph"/>
        <w:numPr>
          <w:ilvl w:val="0"/>
          <w:numId w:val="2"/>
        </w:numPr>
        <w:spacing w:after="80"/>
      </w:pPr>
      <w:r>
        <w:rPr>
          <w:rFonts w:ascii="Arial" w:cs="Arial" w:eastAsia="Arial" w:hAnsi="Arial"/>
          <w:sz w:val="22"/>
          <w:szCs w:val="22"/>
        </w:rPr>
        <w:t xml:space="preserve">Accreditation card screenshots showing trajectory over time</w:t>
      </w:r>
    </w:p>
    <w:p>
      <w:pPr>
        <w:pStyle w:val="ListParagraph"/>
        <w:numPr>
          <w:ilvl w:val="0"/>
          <w:numId w:val="2"/>
        </w:numPr>
        <w:spacing w:after="80"/>
      </w:pPr>
      <w:r>
        <w:rPr>
          <w:rFonts w:ascii="Arial" w:cs="Arial" w:eastAsia="Arial" w:hAnsi="Arial"/>
          <w:sz w:val="22"/>
          <w:szCs w:val="22"/>
        </w:rPr>
        <w:t xml:space="preserve">Pattern detection examples: “The mentor noticed I make worse architecture decisions on Mondays”</w:t>
      </w:r>
    </w:p>
    <w:p>
      <w:pPr>
        <w:pStyle w:val="Heading2"/>
        <w:spacing w:after="200" w:before="300"/>
      </w:pPr>
      <w:r>
        <w:t xml:space="preserve">7.4 Phase 3: Enterprise Positioning (Q4 2026–Q1 2027)</w:t>
      </w:r>
    </w:p>
    <w:p>
      <w:pPr>
        <w:spacing w:after="120"/>
      </w:pPr>
      <w:r>
        <w:rPr>
          <w:rFonts w:ascii="Arial" w:cs="Arial" w:eastAsia="Arial" w:hAnsi="Arial"/>
          <w:color w:val="000000"/>
          <w:sz w:val="22"/>
          <w:szCs w:val="22"/>
        </w:rPr>
        <w:t xml:space="preserve">With 3–6 months of user data and case studies, approach enterprise coaching buyers. Position the Sage Mentor not as a replacement for human coaching but as the “continuous layer” that operates between coaching sessions.</w:t>
      </w:r>
    </w:p>
    <w:p>
      <w:pPr>
        <w:pStyle w:val="ListParagraph"/>
        <w:numPr>
          <w:ilvl w:val="0"/>
          <w:numId w:val="2"/>
        </w:numPr>
        <w:spacing w:after="80"/>
      </w:pPr>
      <w:r>
        <w:rPr>
          <w:rFonts w:ascii="Arial" w:cs="Arial" w:eastAsia="Arial" w:hAnsi="Arial"/>
          <w:sz w:val="22"/>
          <w:szCs w:val="22"/>
        </w:rPr>
        <w:t xml:space="preserve">Partnership model: integrate with BetterUp, CoachHub, or Torch as an add-on that provides daily decision quality data for the human coach to review</w:t>
      </w:r>
    </w:p>
    <w:p>
      <w:pPr>
        <w:pStyle w:val="ListParagraph"/>
        <w:numPr>
          <w:ilvl w:val="0"/>
          <w:numId w:val="2"/>
        </w:numPr>
        <w:spacing w:after="80"/>
      </w:pPr>
      <w:r>
        <w:rPr>
          <w:rFonts w:ascii="Arial" w:cs="Arial" w:eastAsia="Arial" w:hAnsi="Arial"/>
          <w:sz w:val="22"/>
          <w:szCs w:val="22"/>
        </w:rPr>
        <w:t xml:space="preserve">Enterprise licence: self-hosted Sage Mentor with organisation-specific governance rules (custom ring configuration)</w:t>
      </w:r>
    </w:p>
    <w:p>
      <w:pPr>
        <w:pStyle w:val="ListParagraph"/>
        <w:numPr>
          <w:ilvl w:val="0"/>
          <w:numId w:val="2"/>
        </w:numPr>
        <w:spacing w:after="80"/>
      </w:pPr>
      <w:r>
        <w:rPr>
          <w:rFonts w:ascii="Arial" w:cs="Arial" w:eastAsia="Arial" w:hAnsi="Arial"/>
          <w:sz w:val="22"/>
          <w:szCs w:val="22"/>
        </w:rPr>
        <w:t xml:space="preserve">Pricing: $100–150/user/month for enterprise (a fraction of human coaching at $717/hour median)</w:t>
      </w:r>
    </w:p>
    <w:p>
      <w:r>
        <w:br w:type="page"/>
      </w:r>
    </w:p>
    <w:p>
      <w:pPr>
        <w:pStyle w:val="Heading1"/>
        <w:spacing w:after="200" w:before="300"/>
      </w:pPr>
      <w:r>
        <w:t xml:space="preserve">8. Revenue Model: The Ring Economics</w:t>
      </w:r>
    </w:p>
    <w:p>
      <w:pPr>
        <w:spacing w:after="120"/>
      </w:pPr>
      <w:r>
        <w:rPr>
          <w:rFonts w:ascii="Arial" w:cs="Arial" w:eastAsia="Arial" w:hAnsi="Arial"/>
          <w:color w:val="000000"/>
          <w:sz w:val="22"/>
          <w:szCs w:val="22"/>
        </w:rPr>
        <w:t xml:space="preserve">The Sage Mentor’s revenue model is fundamentally different from the per-call API model because the ring generates revenue from every action taken by any inner agent.</w:t>
      </w:r>
    </w:p>
    <w:p>
      <w:pPr>
        <w:pStyle w:val="Heading2"/>
        <w:spacing w:after="200" w:before="300"/>
      </w:pPr>
      <w:r>
        <w:t xml:space="preserve">8.1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Stream</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Estimated Revenue Per Event</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Ring evaluation (BEFORE)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Every inner agent action above routine classification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$0.001–0.01 (Haiku) to $0.01–0.05 (Sonnet)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5–20 per session, 1–3 sessions/day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Ring evaluation (AFTER)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Every inner agent output evaluation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$0.001–0.01 (Haiku) to $0.01–0.05 (Sonnet)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Same as BEFORE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Morning check-in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Daily proactive output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$0.005–0.01 (Haiku)</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Daily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Evening reflection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Daily proactive output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$0.005–0.01 (Haiku)</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Daily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Weekly pattern mirror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Weekly proactive output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$0.01–0.05 (Sonnet)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Weekly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Journal ingestion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One-time onboarding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$0.50–2.00 (Sonnet, multi-chunk)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Once per journal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Sage-consult invocation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On-demand mid-session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$0.01–0.05 (Sonnet)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 per session when 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Progression toolkit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Prescribed exercises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$0.01–0.05 per exercise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2–5 per week when prescribed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Subscription fee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Monthly access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$30–150/month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Monthly</w:t>
            </w:r>
          </w:p>
        </w:tc>
      </w:tr>
    </w:tbl>
    <w:p>
      <w:pPr>
        <w:spacing w:after="200"/>
      </w:pPr>
    </w:p>
    <w:p>
      <w:pPr>
        <w:pStyle w:val="Heading2"/>
        <w:spacing w:after="200" w:before="300"/>
      </w:pPr>
      <w:r>
        <w:t xml:space="preserve">8.2 Unit Economics (Solo Founder Scenario)</w:t>
      </w:r>
    </w:p>
    <w:p>
      <w:pPr>
        <w:spacing w:after="120"/>
      </w:pPr>
      <w:r>
        <w:rPr>
          <w:rFonts w:ascii="Arial" w:cs="Arial" w:eastAsia="Arial" w:hAnsi="Arial"/>
          <w:color w:val="000000"/>
          <w:sz w:val="22"/>
          <w:szCs w:val="22"/>
        </w:rPr>
        <w:t xml:space="preserve">Estimated cost per active user per month (assuming 20 working days, 1.5 sessions/day, 10 classified exchanges per session):</w:t>
      </w:r>
    </w:p>
    <w:p>
      <w:pPr>
        <w:pStyle w:val="ListParagraph"/>
        <w:numPr>
          <w:ilvl w:val="0"/>
          <w:numId w:val="2"/>
        </w:numPr>
        <w:spacing w:after="80"/>
      </w:pPr>
      <w:r>
        <w:rPr>
          <w:rFonts w:ascii="Arial" w:cs="Arial" w:eastAsia="Arial" w:hAnsi="Arial"/>
          <w:sz w:val="22"/>
          <w:szCs w:val="22"/>
        </w:rPr>
        <w:t xml:space="preserve">Ring evaluations: 300 BEFORE + 300 AFTER @ $0.005 avg = $3.00/month</w:t>
      </w:r>
    </w:p>
    <w:p>
      <w:pPr>
        <w:pStyle w:val="ListParagraph"/>
        <w:numPr>
          <w:ilvl w:val="0"/>
          <w:numId w:val="2"/>
        </w:numPr>
        <w:spacing w:after="80"/>
      </w:pPr>
      <w:r>
        <w:rPr>
          <w:rFonts w:ascii="Arial" w:cs="Arial" w:eastAsia="Arial" w:hAnsi="Arial"/>
          <w:sz w:val="22"/>
          <w:szCs w:val="22"/>
        </w:rPr>
        <w:t xml:space="preserve">Proactive outputs: 20 mornings + 20 evenings @ $0.008 + 4 weekly mirrors @ $0.03 = $0.44/month</w:t>
      </w:r>
    </w:p>
    <w:p>
      <w:pPr>
        <w:pStyle w:val="ListParagraph"/>
        <w:numPr>
          <w:ilvl w:val="0"/>
          <w:numId w:val="2"/>
        </w:numPr>
        <w:spacing w:after="80"/>
      </w:pPr>
      <w:r>
        <w:rPr>
          <w:rFonts w:ascii="Arial" w:cs="Arial" w:eastAsia="Arial" w:hAnsi="Arial"/>
          <w:sz w:val="22"/>
          <w:szCs w:val="22"/>
        </w:rPr>
        <w:t xml:space="preserve">Sage-consult: 15 invocations/month @ $0.03 = $0.45/month</w:t>
      </w:r>
    </w:p>
    <w:p>
      <w:pPr>
        <w:pStyle w:val="ListParagraph"/>
        <w:numPr>
          <w:ilvl w:val="0"/>
          <w:numId w:val="2"/>
        </w:numPr>
        <w:spacing w:after="80"/>
      </w:pPr>
      <w:r>
        <w:rPr>
          <w:rFonts w:ascii="Arial" w:cs="Arial" w:eastAsia="Arial" w:hAnsi="Arial"/>
          <w:sz w:val="22"/>
          <w:szCs w:val="22"/>
        </w:rPr>
        <w:t xml:space="preserve">Total LLM cost per user/month: ~$3.89</w:t>
      </w:r>
    </w:p>
    <w:p>
      <w:pPr>
        <w:pStyle w:val="ListParagraph"/>
        <w:numPr>
          <w:ilvl w:val="0"/>
          <w:numId w:val="2"/>
        </w:numPr>
        <w:spacing w:after="80"/>
      </w:pPr>
      <w:r>
        <w:rPr>
          <w:rFonts w:ascii="Arial" w:cs="Arial" w:eastAsia="Arial" w:hAnsi="Arial"/>
          <w:sz w:val="22"/>
          <w:szCs w:val="22"/>
        </w:rPr>
        <w:t xml:space="preserve">At $30/month subscription: ~87% gross margin</w:t>
      </w:r>
    </w:p>
    <w:p>
      <w:pPr>
        <w:pStyle w:val="ListParagraph"/>
        <w:numPr>
          <w:ilvl w:val="0"/>
          <w:numId w:val="2"/>
        </w:numPr>
        <w:spacing w:after="80"/>
      </w:pPr>
      <w:r>
        <w:rPr>
          <w:rFonts w:ascii="Arial" w:cs="Arial" w:eastAsia="Arial" w:hAnsi="Arial"/>
          <w:sz w:val="22"/>
          <w:szCs w:val="22"/>
        </w:rPr>
        <w:t xml:space="preserve">At $50/month subscription: ~92% gross margin</w:t>
      </w:r>
    </w:p>
    <w:p>
      <w:pPr>
        <w:spacing w:after="120"/>
      </w:pPr>
      <w:r>
        <w:rPr>
          <w:rFonts w:ascii="Arial" w:cs="Arial" w:eastAsia="Arial" w:hAnsi="Arial"/>
          <w:b/>
          <w:bCs/>
          <w:sz w:val="22"/>
          <w:szCs w:val="22"/>
        </w:rPr>
        <w:t xml:space="preserve">Scaling note: </w:t>
      </w:r>
      <w:r>
        <w:rPr>
          <w:rFonts w:ascii="Arial" w:cs="Arial" w:eastAsia="Arial" w:hAnsi="Arial"/>
          <w:sz w:val="22"/>
          <w:szCs w:val="22"/>
        </w:rPr>
        <w:t xml:space="preserve">The more inner agents a user has, the more ring evaluations fire. A user with 5 inner agents (assistant, email, calendar, code review, research) generates 5x the evaluation calls. Revenue per user scales with agent usage without SageReasoning building anything new.</w:t>
      </w:r>
    </w:p>
    <w:p>
      <w:r>
        <w:br w:type="page"/>
      </w:r>
    </w:p>
    <w:p>
      <w:pPr>
        <w:pStyle w:val="Heading1"/>
        <w:spacing w:after="200" w:before="300"/>
      </w:pPr>
      <w:r>
        <w:t xml:space="preserve">9. Risk Factors Specific to the Sage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5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Category education: users don’t know they need decision quality monitoring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Dog-food first. Build case study from personal use. “Show, don’t tell” with concrete pattern examples. The weekly pattern mirror creates shareable “aha moments.”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Anthropic changes Cowork plugin architecture or restricts access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Session bridge is designed as a standalone TypeScript module. Can deploy as MCP server, Claude Code plugin, or API independently of Cowork-specific features.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Users find Stoic terminology alienating or niche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mentor’s voice is conversational, not academic (Senecan parrhesia with philanthropia). Stoic terms are internal; user-facing output uses English-only tier (R8 glossary enforcement). The user sees “you’re making this decision from fear” not “phobos sub-species deilia detected.”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Competitor (BetterUp, Kin, etc.) adds decision quality monitoring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Stoic Brain’s 25-species passion taxonomy, 4-stage evaluation, and source-cited data files are unreplicable. A competitor can add “decision quality” as a feature; they cannot add 2,300 years of philosophical rigour.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Privacy concerns about monitoring decisions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data user-scoped with RLS. On-device classification gate means most exchanges never reach an LLM. Observer mode is default (batch evaluation, not real-time). User controls mode selection.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LLM costs per user exceed subscription revenue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Model routing (Haiku for routine, Sonnet for complex) keeps costs to ~$3.89/user/month. Classification gate filters 60–80% of exchanges at zero LLM cost. Prompt caching reduces repeated persona loading.</w:t>
            </w:r>
          </w:p>
        </w:tc>
      </w:tr>
    </w:tbl>
    <w:p>
      <w:r>
        <w:br w:type="page"/>
      </w:r>
    </w:p>
    <w:p>
      <w:pPr>
        <w:pStyle w:val="Heading1"/>
        <w:spacing w:after="200" w:before="300"/>
      </w:pPr>
      <w:r>
        <w:t xml:space="preserve">10. Conclusion</w:t>
      </w:r>
    </w:p>
    <w:p>
      <w:pPr>
        <w:spacing w:after="120"/>
      </w:pPr>
      <w:r>
        <w:rPr>
          <w:rFonts w:ascii="Arial" w:cs="Arial" w:eastAsia="Arial" w:hAnsi="Arial"/>
          <w:color w:val="000000"/>
          <w:sz w:val="22"/>
          <w:szCs w:val="22"/>
        </w:rPr>
        <w:t xml:space="preserve">The Sage Mentor, when live with persistent project status, baseline project assessment, and live decision health monitoring, is the strongest product opportunity in the SageReasoning portfolio. It is stronger than the Agent Trust Layer because:</w:t>
      </w:r>
    </w:p>
    <w:p>
      <w:pPr>
        <w:pStyle w:val="ListParagraph"/>
        <w:numPr>
          <w:ilvl w:val="0"/>
          <w:numId w:val="3"/>
        </w:numPr>
        <w:spacing w:after="80"/>
      </w:pPr>
      <w:r>
        <w:rPr>
          <w:rFonts w:ascii="Arial" w:cs="Arial" w:eastAsia="Arial" w:hAnsi="Arial"/>
          <w:sz w:val="22"/>
          <w:szCs w:val="22"/>
        </w:rPr>
        <w:t xml:space="preserve">The addressable market is larger ($113B coaching + $9.7B decision intelligence vs. $352–418M AI governance).</w:t>
      </w:r>
    </w:p>
    <w:p>
      <w:pPr>
        <w:pStyle w:val="ListParagraph"/>
        <w:numPr>
          <w:ilvl w:val="0"/>
          <w:numId w:val="3"/>
        </w:numPr>
        <w:spacing w:after="80"/>
      </w:pPr>
      <w:r>
        <w:rPr>
          <w:rFonts w:ascii="Arial" w:cs="Arial" w:eastAsia="Arial" w:hAnsi="Arial"/>
          <w:sz w:val="22"/>
          <w:szCs w:val="22"/>
        </w:rPr>
        <w:t xml:space="preserve">The competitive gap is wider (no product monitors individual decision quality longitudinally vs. several products partially address agent governance).</w:t>
      </w:r>
    </w:p>
    <w:p>
      <w:pPr>
        <w:pStyle w:val="ListParagraph"/>
        <w:numPr>
          <w:ilvl w:val="0"/>
          <w:numId w:val="3"/>
        </w:numPr>
        <w:spacing w:after="80"/>
      </w:pPr>
      <w:r>
        <w:rPr>
          <w:rFonts w:ascii="Arial" w:cs="Arial" w:eastAsia="Arial" w:hAnsi="Arial"/>
          <w:sz w:val="22"/>
          <w:szCs w:val="22"/>
        </w:rPr>
        <w:t xml:space="preserve">The solo founder fit is better (Cowork plugin distribution + dog-fooding vs. enterprise B2B sales for agent certification).</w:t>
      </w:r>
    </w:p>
    <w:p>
      <w:pPr>
        <w:pStyle w:val="ListParagraph"/>
        <w:numPr>
          <w:ilvl w:val="0"/>
          <w:numId w:val="3"/>
        </w:numPr>
        <w:spacing w:after="80"/>
      </w:pPr>
      <w:r>
        <w:rPr>
          <w:rFonts w:ascii="Arial" w:cs="Arial" w:eastAsia="Arial" w:hAnsi="Arial"/>
          <w:sz w:val="22"/>
          <w:szCs w:val="22"/>
        </w:rPr>
        <w:t xml:space="preserve">The compounding moat is deeper (6–12 months of longitudinal profile vs. per-call API with no switching cost).</w:t>
      </w:r>
    </w:p>
    <w:p>
      <w:pPr>
        <w:pStyle w:val="ListParagraph"/>
        <w:numPr>
          <w:ilvl w:val="0"/>
          <w:numId w:val="3"/>
        </w:numPr>
        <w:spacing w:after="80"/>
      </w:pPr>
      <w:r>
        <w:rPr>
          <w:rFonts w:ascii="Arial" w:cs="Arial" w:eastAsia="Arial" w:hAnsi="Arial"/>
          <w:sz w:val="22"/>
          <w:szCs w:val="22"/>
        </w:rPr>
        <w:t xml:space="preserve">The revenue model is richer (subscription + ring evaluations + progression toolkit + journal ingestion vs. per-call API only).</w:t>
      </w:r>
    </w:p>
    <w:p>
      <w:pPr>
        <w:pStyle w:val="ListParagraph"/>
        <w:numPr>
          <w:ilvl w:val="0"/>
          <w:numId w:val="3"/>
        </w:numPr>
        <w:spacing w:after="80"/>
      </w:pPr>
      <w:r>
        <w:rPr>
          <w:rFonts w:ascii="Arial" w:cs="Arial" w:eastAsia="Arial" w:hAnsi="Arial"/>
          <w:sz w:val="22"/>
          <w:szCs w:val="22"/>
        </w:rPr>
        <w:t xml:space="preserve">It is 90% built (vs. 70% for the Agent Trust Layer).</w:t>
      </w:r>
    </w:p>
    <w:p>
      <w:pPr>
        <w:spacing w:after="120"/>
      </w:pPr>
      <w:r>
        <w:rPr>
          <w:rFonts w:ascii="Arial" w:cs="Arial" w:eastAsia="Arial" w:hAnsi="Arial"/>
          <w:color w:val="000000"/>
          <w:sz w:val="22"/>
          <w:szCs w:val="22"/>
        </w:rPr>
        <w:t xml:space="preserve">The strategic recommendation is to reorder priorities:</w:t>
      </w:r>
    </w:p>
    <w:p>
      <w:pPr>
        <w:pStyle w:val="ListParagraph"/>
        <w:numPr>
          <w:ilvl w:val="0"/>
          <w:numId w:val="3"/>
        </w:numPr>
        <w:spacing w:after="80"/>
      </w:pPr>
      <w:r>
        <w:rPr>
          <w:rFonts w:ascii="Arial" w:cs="Arial" w:eastAsia="Arial" w:hAnsi="Arial"/>
          <w:sz w:val="22"/>
          <w:szCs w:val="22"/>
        </w:rPr>
        <w:t xml:space="preserve">Wire the Sage Mentor to the live environment and begin dog-fooding immediately. This requires: Supabase session bridge migration, LLM bridge connection, and classification gate validation.</w:t>
      </w:r>
    </w:p>
    <w:p>
      <w:pPr>
        <w:pStyle w:val="ListParagraph"/>
        <w:numPr>
          <w:ilvl w:val="0"/>
          <w:numId w:val="3"/>
        </w:numPr>
        <w:spacing w:after="80"/>
      </w:pPr>
      <w:r>
        <w:rPr>
          <w:rFonts w:ascii="Arial" w:cs="Arial" w:eastAsia="Arial" w:hAnsi="Arial"/>
          <w:sz w:val="22"/>
          <w:szCs w:val="22"/>
        </w:rPr>
        <w:t xml:space="preserve">Simultaneously complete Stripe integration for API self-serve billing (supports both Sage Mentor and agent API revenue).</w:t>
      </w:r>
    </w:p>
    <w:p>
      <w:pPr>
        <w:pStyle w:val="ListParagraph"/>
        <w:numPr>
          <w:ilvl w:val="0"/>
          <w:numId w:val="3"/>
        </w:numPr>
        <w:spacing w:after="80"/>
      </w:pPr>
      <w:r>
        <w:rPr>
          <w:rFonts w:ascii="Arial" w:cs="Arial" w:eastAsia="Arial" w:hAnsi="Arial"/>
          <w:sz w:val="22"/>
          <w:szCs w:val="22"/>
        </w:rPr>
        <w:t xml:space="preserve">Package sage-consult and sage-interpret as a distributable Cowork plugin within 30 days of successful dog-fooding.</w:t>
      </w:r>
    </w:p>
    <w:p>
      <w:pPr>
        <w:pStyle w:val="ListParagraph"/>
        <w:numPr>
          <w:ilvl w:val="0"/>
          <w:numId w:val="3"/>
        </w:numPr>
        <w:spacing w:after="80"/>
      </w:pPr>
      <w:r>
        <w:rPr>
          <w:rFonts w:ascii="Arial" w:cs="Arial" w:eastAsia="Arial" w:hAnsi="Arial"/>
          <w:sz w:val="22"/>
          <w:szCs w:val="22"/>
        </w:rPr>
        <w:t xml:space="preserve">Defer enterprise Agent Trust Layer outreach until the Sage Mentor has 90 days of usage data and a published case study.</w:t>
      </w:r>
    </w:p>
    <w:p>
      <w:pPr>
        <w:pStyle w:val="ListParagraph"/>
        <w:numPr>
          <w:ilvl w:val="0"/>
          <w:numId w:val="3"/>
        </w:numPr>
        <w:spacing w:after="80"/>
      </w:pPr>
      <w:r>
        <w:rPr>
          <w:rFonts w:ascii="Arial" w:cs="Arial" w:eastAsia="Arial" w:hAnsi="Arial"/>
          <w:sz w:val="22"/>
          <w:szCs w:val="22"/>
        </w:rPr>
        <w:t xml:space="preserve">Let the Agent Trust Layer emerge as a B2B enterprise product built on the same infrastructure, positioned naturally once the Sage Mentor demonstrates the ring’s value to individual users.</w:t>
      </w:r>
    </w:p>
    <w:p>
      <w:pPr>
        <w:spacing w:after="400"/>
      </w:pPr>
    </w:p>
    <w:p>
      <w:pPr>
        <w:spacing w:after="120"/>
      </w:pPr>
      <w:r>
        <w:rPr>
          <w:rFonts w:ascii="Arial" w:cs="Arial" w:eastAsia="Arial" w:hAnsi="Arial"/>
          <w:color w:val="000000"/>
          <w:sz w:val="22"/>
          <w:szCs w:val="22"/>
        </w:rPr>
        <w:t xml:space="preserve">The Sage Mentor is the product that makes the case for SageReasoning’s existence in a world of Mythos-class models. Anyone can prompt a model to think like a Stoic. No one else can provide a mentor that knows your reasoning history, remembers your journal, tracks your decision quality across months, and tells you when the fear of competitors is driving your architecture choices. The longitudinal relationship is the product. The philosophical framework is the engine. The ring architecture is the business model.</w:t>
      </w:r>
    </w:p>
    <w:p>
      <w:pPr>
        <w:spacing w:after="200"/>
      </w:pPr>
    </w:p>
    <w:p>
      <w:pPr>
        <w:pBdr>
          <w:top w:val="single" w:color="2E8B8B" w:sz="2" w:space="8"/>
        </w:pBdr>
      </w:pPr>
      <w:r>
        <w:rPr>
          <w:rFonts w:ascii="Arial" w:cs="Arial" w:eastAsia="Arial" w:hAnsi="Arial"/>
          <w:i/>
          <w:iCs/>
          <w:color w:val="666666"/>
          <w:sz w:val="20"/>
          <w:szCs w:val="20"/>
        </w:rPr>
        <w:t xml:space="preserve">End of addendum.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SageReasoning Pty Ltd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4" w:space="4"/>
      </w:pBdr>
      <w:tabs>
        <w:tab w:val="right" w:pos="9026"/>
      </w:tabs>
    </w:pPr>
    <w:r>
      <w:rPr>
        <w:rFonts w:ascii="Arial" w:cs="Arial" w:eastAsia="Arial" w:hAnsi="Arial"/>
        <w:b/>
        <w:bCs/>
        <w:color w:val="1B3A5C"/>
        <w:sz w:val="18"/>
        <w:szCs w:val="18"/>
      </w:rPr>
      <w:t xml:space="preserve">SageReasoning</w:t>
    </w:r>
    <w:r>
      <w:rPr>
        <w:rFonts w:ascii="Arial" w:cs="Arial" w:eastAsia="Arial" w:hAnsi="Arial"/>
        <w:color w:val="666666"/>
        <w:sz w:val="18"/>
        <w:szCs w:val="18"/>
      </w:rPr>
      <w:t xml:space="preserve">	Addendum: Sage Mentor Opportunity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2026-04-04T12:04:48.942Z</dcterms:created>
  <dcterms:modified xsi:type="dcterms:W3CDTF">2026-04-04T12:04:48.942Z</dcterms:modified>
</cp:coreProperties>
</file>

<file path=docProps/custom.xml><?xml version="1.0" encoding="utf-8"?>
<Properties xmlns="http://schemas.openxmlformats.org/officeDocument/2006/custom-properties" xmlns:vt="http://schemas.openxmlformats.org/officeDocument/2006/docPropsVTypes"/>
</file>