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666666"/>
          <w:sz w:val="20"/>
          <w:szCs w:val="20"/>
        </w:rPr>
        <w:t xml:space="preserve">SAGEREASONING</w:t>
      </w:r>
    </w:p>
    <w:p>
      <w:pPr>
        <w:spacing w:after="200"/>
      </w:pPr>
      <w:r>
        <w:rPr>
          <w:rFonts w:ascii="Arial" w:cs="Arial" w:eastAsia="Arial" w:hAnsi="Arial"/>
          <w:b/>
          <w:bCs/>
          <w:sz w:val="48"/>
          <w:szCs w:val="48"/>
        </w:rPr>
        <w:t xml:space="preserve">Developer-Outcome Brainstorm</w:t>
      </w:r>
    </w:p>
    <w:p>
      <w:pPr>
        <w:spacing w:after="160"/>
      </w:pPr>
      <w:r>
        <w:rPr>
          <w:rFonts w:ascii="Arial" w:cs="Arial" w:eastAsia="Arial" w:hAnsi="Arial"/>
          <w:i/>
          <w:iCs/>
          <w:color w:val="555555"/>
          <w:sz w:val="22"/>
          <w:szCs w:val="22"/>
        </w:rPr>
        <w:t xml:space="preserve">Amendments and Additions to the Strategic Feedback Analysis</w:t>
      </w:r>
    </w:p>
    <w:p>
      <w:pPr>
        <w:spacing w:after="160"/>
      </w:pPr>
      <w:r>
        <w:rPr>
          <w:rFonts w:ascii="Arial" w:cs="Arial" w:eastAsia="Arial" w:hAnsi="Arial"/>
          <w:color w:val="888888"/>
          <w:sz w:val="22"/>
          <w:szCs w:val="22"/>
        </w:rPr>
        <w:t xml:space="preserve">1 April 2026</w:t>
      </w:r>
    </w:p>
    <w:p>
      <w:pPr>
        <w:spacing w:after="200"/>
      </w:pPr>
    </w:p>
    <w:p>
      <w:pPr>
        <w:pStyle w:val="Heading1"/>
        <w:spacing w:after="200" w:before="360"/>
      </w:pPr>
      <w:r>
        <w:rPr>
          <w:rFonts w:ascii="Arial" w:cs="Arial" w:eastAsia="Arial" w:hAnsi="Arial"/>
          <w:b/>
          <w:bCs/>
          <w:sz w:val="32"/>
          <w:szCs w:val="32"/>
        </w:rPr>
        <w:t xml:space="preserve">Executive Summary</w:t>
      </w:r>
    </w:p>
    <w:p>
      <w:pPr>
        <w:spacing w:after="160"/>
      </w:pPr>
      <w:r>
        <w:rPr>
          <w:rFonts w:ascii="Arial" w:cs="Arial" w:eastAsia="Arial" w:hAnsi="Arial"/>
          <w:sz w:val="22"/>
          <w:szCs w:val="22"/>
        </w:rPr>
        <w:t xml:space="preserve">The Strategic Feedback Analysis identifies philosophy-first framing as the wrong entry point and recommends use-case-first language on marketing surfaces (homepage, API docs, AGENTS.md, pricing page). This brainstorm extends that insight further: the same principle should govern every skill description, every contract field, and every line of text an agent or developer encounters at the point of discovery. When a skill appears in a developer’s context window, the 1–2 line description is free advertising. If that description says “Stoic virtue assessment,” the developer skips it. If it says “Pre-action decision audit — 200ms, $0.003, returns improvement path,” they pay attention.</w:t>
      </w:r>
    </w:p>
    <w:p>
      <w:pPr>
        <w:spacing w:after="160"/>
      </w:pPr>
      <w:r>
        <w:rPr>
          <w:rFonts w:ascii="Arial" w:cs="Arial" w:eastAsia="Arial" w:hAnsi="Arial"/>
          <w:sz w:val="22"/>
          <w:szCs w:val="22"/>
        </w:rPr>
        <w:t xml:space="preserve">This document identifies 6 specific amendments and 2 new additions to the Strategic Feedback Analysis, plus a naming strategy evaluation for the “sage” prefix.</w:t>
      </w:r>
    </w:p>
    <w:p>
      <w:pPr>
        <w:pStyle w:val="Heading1"/>
        <w:spacing w:after="200" w:before="360"/>
      </w:pPr>
      <w:r>
        <w:rPr>
          <w:rFonts w:ascii="Arial" w:cs="Arial" w:eastAsia="Arial" w:hAnsi="Arial"/>
          <w:b/>
          <w:bCs/>
          <w:sz w:val="32"/>
          <w:szCs w:val="32"/>
        </w:rPr>
        <w:t xml:space="preserve">1. The Core Reframe: Outcome as the Routing Signal</w:t>
      </w:r>
    </w:p>
    <w:p>
      <w:pPr>
        <w:spacing w:after="160"/>
      </w:pPr>
      <w:r>
        <w:rPr>
          <w:rFonts w:ascii="Arial" w:cs="Arial" w:eastAsia="Arial" w:hAnsi="Arial"/>
          <w:sz w:val="22"/>
          <w:szCs w:val="22"/>
        </w:rPr>
        <w:t xml:space="preserve">The existing analysis recommends adding “Receives / Returns / Chains To” contract language to every endpoint description (Section 1A). That recommendation is correct but incomplete. “Receives / Returns” still describes the method. Agents and developers route based on outcome. The contract template should lead with what the developer gets, not what the endpoint processes.</w:t>
      </w:r>
    </w:p>
    <w:p>
      <w:pPr>
        <w:pStyle w:val="Heading3"/>
        <w:spacing w:after="120" w:before="240"/>
      </w:pPr>
      <w:r>
        <w:rPr>
          <w:rFonts w:ascii="Arial" w:cs="Arial" w:eastAsia="Arial" w:hAnsi="Arial"/>
          <w:b/>
          <w:bCs/>
          <w:sz w:val="24"/>
          <w:szCs w:val="24"/>
        </w:rPr>
        <w:t xml:space="preserve">Recommended Amendment to Section 1A</w:t>
      </w:r>
    </w:p>
    <w:p>
      <w:pPr>
        <w:spacing w:after="160"/>
      </w:pPr>
      <w:r>
        <w:rPr>
          <w:rFonts w:ascii="Arial" w:cs="Arial" w:eastAsia="Arial" w:hAnsi="Arial"/>
          <w:b/>
          <w:bCs/>
          <w:sz w:val="22"/>
          <w:szCs w:val="22"/>
        </w:rPr>
        <w:t xml:space="preserve">Current recommendation: </w:t>
      </w:r>
      <w:r>
        <w:rPr>
          <w:rFonts w:ascii="Arial" w:cs="Arial" w:eastAsia="Arial" w:hAnsi="Arial"/>
          <w:sz w:val="22"/>
          <w:szCs w:val="22"/>
        </w:rPr>
        <w:t xml:space="preserve">Add “Receives / Returns / Chains To” contract to spec description.</w:t>
      </w:r>
    </w:p>
    <w:p>
      <w:pPr>
        <w:spacing w:after="160"/>
      </w:pPr>
      <w:r>
        <w:rPr>
          <w:rFonts w:ascii="Arial" w:cs="Arial" w:eastAsia="Arial" w:hAnsi="Arial"/>
          <w:b/>
          <w:bCs/>
          <w:sz w:val="22"/>
          <w:szCs w:val="22"/>
        </w:rPr>
        <w:t xml:space="preserve">Amended recommendation: </w:t>
      </w:r>
      <w:r>
        <w:rPr>
          <w:rFonts w:ascii="Arial" w:cs="Arial" w:eastAsia="Arial" w:hAnsi="Arial"/>
          <w:sz w:val="22"/>
          <w:szCs w:val="22"/>
        </w:rPr>
        <w:t xml:space="preserve">Add “Outcome / Cost + Speed / Chains To” contract to spec description. The Outcome line is the primary routing signal. It answers the question every agent asks: “What do I get if I call this?”</w:t>
      </w:r>
    </w:p>
    <w:p>
      <w:pPr>
        <w:spacing w:after="160"/>
      </w:pPr>
      <w:r>
        <w:rPr>
          <w:rFonts w:ascii="Arial" w:cs="Arial" w:eastAsia="Arial" w:hAnsi="Arial"/>
          <w:sz w:val="22"/>
          <w:szCs w:val="22"/>
        </w:rPr>
        <w:t xml:space="preserve">This is not a cosmetic change. It changes what agents optimise for when selecting tools. An agent reading “Receives an action string and context” is learning about input format. An agent reading “Returns a structured decision audit with improvement path in under 500ms” is learning about value.</w:t>
      </w:r>
    </w:p>
    <w:p>
      <w:pPr>
        <w:pStyle w:val="Heading1"/>
        <w:spacing w:after="200" w:before="360"/>
      </w:pPr>
      <w:r>
        <w:rPr>
          <w:rFonts w:ascii="Arial" w:cs="Arial" w:eastAsia="Arial" w:hAnsi="Arial"/>
          <w:b/>
          <w:bCs/>
          <w:sz w:val="32"/>
          <w:szCs w:val="32"/>
        </w:rPr>
        <w:t xml:space="preserve">2. Outcome-First Descriptions for Every Endpoint</w:t>
      </w:r>
    </w:p>
    <w:p>
      <w:pPr>
        <w:spacing w:after="160"/>
      </w:pPr>
      <w:r>
        <w:rPr>
          <w:rFonts w:ascii="Arial" w:cs="Arial" w:eastAsia="Arial" w:hAnsi="Arial"/>
          <w:sz w:val="22"/>
          <w:szCs w:val="22"/>
        </w:rPr>
        <w:t xml:space="preserve">The table below rewrites every endpoint description from the developer’s perspective, leading with what they get, stripping philosophical terminology from the first line. Philosophy is available on request (via the /methodology page or a detail field), but the routing signal is pure outcome.</w:t>
      </w:r>
    </w:p>
    <w:p>
      <w:pPr>
        <w:pStyle w:val="Heading3"/>
        <w:spacing w:after="120" w:before="240"/>
      </w:pPr>
      <w:r>
        <w:rPr>
          <w:rFonts w:ascii="Arial" w:cs="Arial" w:eastAsia="Arial" w:hAnsi="Arial"/>
          <w:b/>
          <w:bCs/>
          <w:sz w:val="24"/>
          <w:szCs w:val="24"/>
        </w:rPr>
        <w:t xml:space="preserve">Recommended Addition: New Subsection in Section 2F or Standalone Appendix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Endpoint</w:t>
            </w:r>
          </w:p>
        </w:tc>
        <w:tc>
          <w:tcPr>
            <w:tcW w:type="dxa" w:w="25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Current Description</w:t>
            </w:r>
          </w:p>
        </w:tc>
        <w:tc>
          <w:tcPr>
            <w:tcW w:type="dxa" w:w="25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Outcome-First Description</w:t>
            </w:r>
          </w:p>
        </w:tc>
        <w:tc>
          <w:tcPr>
            <w:tcW w:type="dxa" w:w="25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Why This Matters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/api/score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Virtue-based reasoning evaluation of a single action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Pre-action decision audit. Returns structured reasoning + improvement path. ~500ms.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Developer sees “decision audit” and immediately knows the use case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/api/score-decision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Compare options using Stoic proximity assessment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Option ranker. Submit 2–5 choices, get them ranked by reasoning quality with justification.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“Option ranker” is a tool category developers already understand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/api/guardrail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Ethical guardrail check using Stoic framework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Sub-100ms decision gate. Binary go/no-go check before your agent acts. Cheapest endpoint.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Speed + cost + use case in one line. Instantly compelling for any agent builder.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/api/score-iterate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Deliberation chain with Stoic virtue tracking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Iterative decision refinement. Submit, get feedback, revise, track measurable improvement.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“Track measurable improvement” is the unique value prop. No competitor offers this.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/api/score-social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Social media content evaluation against Stoic principles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Pre-publish content filter. Catches tone and judgment issues before content goes live.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“Pre-publish filter” positions alongside content moderation tools developers know</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/api/score-document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Document scoring with virtue-based badge generation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Document quality audit + shareable trust badge. Scores reasoning quality of any text.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“Trust badge” is tangible output. Developer sees immediate integration 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/api/score-conversation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Per-participant Stoic evaluation of a conversation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Conversation quality breakdown. Per-participant reasoning analysis of any dialogue.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“Per-participant” signals granularity. Unique capability with no direct competitor.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/api/score-scenario</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Generate and evaluate ethical scenarios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Decision scenario generator + scorer. Creates realistic dilemmas, then evaluates responses.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Two-phase value is clear. Useful for training, testing, education.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/api/reflect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Evening reflection with Stoic sage perspective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End-of-day decision review. Identifies patterns in today’s actions + returns structured examination.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“Identifies patterns” is the value. Moves from philosophical exercise to practical insight.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/api/baseline/agent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Agent baseline evaluation using 4 Stoic scenarios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Agent decision profile. 4 scenarios, returns tendencies, blind spots, and growth areas.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“Decision profile” creates curiosity. Developers want to know their agent’s blind spots.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/api/assessment/*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Stoic self-assessment framework (14 foundational / 55 full)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Decision-making diagnostic. 14-question quick scan or 55-assessment deep evaluation. Returns growth map.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“Diagnostic” and “growth map” are outcome language.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/api/stoic-brain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Public philosophical framework reference data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Reasoning framework context loader. Public, no auth. Returns full structured framework for agent context.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“Context loader” tells agent builders exactly when to call it: during initialisation.</w:t>
            </w:r>
          </w:p>
        </w:tc>
      </w:tr>
    </w:tbl>
    <w:p>
      <w:pPr>
        <w:spacing w:after="160"/>
      </w:pPr>
    </w:p>
    <w:p>
      <w:pPr>
        <w:spacing w:after="160"/>
      </w:pPr>
      <w:r>
        <w:rPr>
          <w:rFonts w:ascii="Arial" w:cs="Arial" w:eastAsia="Arial" w:hAnsi="Arial"/>
          <w:b/>
          <w:bCs/>
          <w:sz w:val="22"/>
          <w:szCs w:val="22"/>
        </w:rPr>
        <w:t xml:space="preserve">Pattern to notice: </w:t>
      </w:r>
      <w:r>
        <w:rPr>
          <w:rFonts w:ascii="Arial" w:cs="Arial" w:eastAsia="Arial" w:hAnsi="Arial"/>
          <w:sz w:val="22"/>
          <w:szCs w:val="22"/>
        </w:rPr>
        <w:t xml:space="preserve">Every rewritten description starts with a tool-category noun the developer already recognises (audit, ranker, gate, filter, profile, diagnostic, loader). This anchors the unfamiliar capability to a familiar concept, then adds the differentiator.</w:t>
      </w:r>
    </w:p>
    <w:p>
      <w:pPr>
        <w:pStyle w:val="Heading1"/>
        <w:spacing w:after="200" w:before="360"/>
      </w:pPr>
      <w:r>
        <w:rPr>
          <w:rFonts w:ascii="Arial" w:cs="Arial" w:eastAsia="Arial" w:hAnsi="Arial"/>
          <w:b/>
          <w:bCs/>
          <w:sz w:val="32"/>
          <w:szCs w:val="32"/>
        </w:rPr>
        <w:t xml:space="preserve">3. Working Backward: Skill Writing Implications</w:t>
      </w:r>
    </w:p>
    <w:p>
      <w:pPr>
        <w:spacing w:after="160"/>
      </w:pPr>
      <w:r>
        <w:rPr>
          <w:rFonts w:ascii="Arial" w:cs="Arial" w:eastAsia="Arial" w:hAnsi="Arial"/>
          <w:sz w:val="22"/>
          <w:szCs w:val="22"/>
        </w:rPr>
        <w:t xml:space="preserve">If the outcome is the routing signal, then every skill contract, AGENTS.md entry, and GET /skills response should be structured to front-load that outcome. This has specific implications for how skills are authored.</w:t>
      </w:r>
    </w:p>
    <w:p>
      <w:pPr>
        <w:pStyle w:val="Heading3"/>
        <w:spacing w:after="120" w:before="240"/>
      </w:pPr>
      <w:r>
        <w:rPr>
          <w:rFonts w:ascii="Arial" w:cs="Arial" w:eastAsia="Arial" w:hAnsi="Arial"/>
          <w:b/>
          <w:bCs/>
          <w:sz w:val="24"/>
          <w:szCs w:val="24"/>
        </w:rPr>
        <w:t xml:space="preserve">Recommended Amendment to Section 2B (Skill Contracts as Product Surface)</w:t>
      </w:r>
    </w:p>
    <w:p>
      <w:pPr>
        <w:spacing w:after="160"/>
      </w:pPr>
      <w:r>
        <w:rPr>
          <w:rFonts w:ascii="Arial" w:cs="Arial" w:eastAsia="Arial" w:hAnsi="Arial"/>
          <w:sz w:val="22"/>
          <w:szCs w:val="22"/>
        </w:rPr>
        <w:t xml:space="preserve">The existing analysis recommends building GET /skills and GET /skills/{id} endpoints. This amendment specifies the response structure those endpoints should return, based on the outcome-first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Purpose</w:t>
            </w:r>
          </w:p>
        </w:tc>
        <w:tc>
          <w:tcPr>
            <w:tcW w:type="dxa" w:w="49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Example (for /api/guardrail)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outcome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What the developer gets. Primary routing signal.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Sub-100ms decision gate. Binary go/no-go check before your agent acts.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sz w:val="20"/>
                <w:szCs w:val="20"/>
              </w:rPr>
              <w:t xml:space="preserve">cost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Cost per call. Deterministic = $0.</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$0.001 (deterministic pre-check: $0, optional LLM validation: $0.001)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speed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Typical latency.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&lt;100ms deterministic, ~800ms with LLM validation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sz w:val="20"/>
                <w:szCs w:val="20"/>
              </w:rPr>
              <w:t xml:space="preserve">chains_to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What to call next.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If blocked: sage-iterate (refine the action). If passed: execute with confidence.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input_summary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Minimal input description.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{action: string} — one field, one sentence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sz w:val="20"/>
                <w:szCs w:val="20"/>
              </w:rPr>
              <w:t xml:space="preserve">is_deterministic</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Whether LLM is required.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Partial. Pre-check is deterministic. Full evaluation requires LLM.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depth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Philosophical detail on request.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Based on Stoic kathekon framework. See /methodology for full explanation.</w:t>
            </w:r>
          </w:p>
        </w:tc>
      </w:tr>
    </w:tbl>
    <w:p>
      <w:pPr>
        <w:spacing w:after="160"/>
      </w:pPr>
    </w:p>
    <w:p>
      <w:pPr>
        <w:spacing w:after="160"/>
      </w:pPr>
      <w:r>
        <w:rPr>
          <w:rFonts w:ascii="Arial" w:cs="Arial" w:eastAsia="Arial" w:hAnsi="Arial"/>
          <w:b/>
          <w:bCs/>
          <w:sz w:val="22"/>
          <w:szCs w:val="22"/>
        </w:rPr>
        <w:t xml:space="preserve">Key structural point: </w:t>
      </w:r>
      <w:r>
        <w:rPr>
          <w:rFonts w:ascii="Arial" w:cs="Arial" w:eastAsia="Arial" w:hAnsi="Arial"/>
          <w:sz w:val="22"/>
          <w:szCs w:val="22"/>
        </w:rPr>
        <w:t xml:space="preserve">The “depth” field is where philosophy lives. It’s available, not hidden, but it’s never the first thing a developer reads. The developer who wants to understand the methodology can drill in. The developer who just wants a decision gate gets what they need from the “outcome” field alone.</w:t>
      </w:r>
    </w:p>
    <w:p>
      <w:pPr>
        <w:pStyle w:val="Heading1"/>
        <w:spacing w:after="200" w:before="360"/>
      </w:pPr>
      <w:r>
        <w:rPr>
          <w:rFonts w:ascii="Arial" w:cs="Arial" w:eastAsia="Arial" w:hAnsi="Arial"/>
          <w:b/>
          <w:bCs/>
          <w:sz w:val="32"/>
          <w:szCs w:val="32"/>
        </w:rPr>
        <w:t xml:space="preserve">4. The “Sage” Prefix: Naming Strategy Evaluation</w:t>
      </w:r>
    </w:p>
    <w:p>
      <w:pPr>
        <w:spacing w:after="160"/>
      </w:pPr>
      <w:r>
        <w:rPr>
          <w:rFonts w:ascii="Arial" w:cs="Arial" w:eastAsia="Arial" w:hAnsi="Arial"/>
          <w:sz w:val="22"/>
          <w:szCs w:val="22"/>
        </w:rPr>
        <w:t xml:space="preserve">The question: would prefixing offerings with “sage” (sage-score, sage-guard, sage-iterate, etc.) improve visibility and curiosity when the skill appears in a developer’s context window?</w:t>
      </w:r>
    </w:p>
    <w:p>
      <w:pPr>
        <w:pStyle w:val="Heading2"/>
        <w:spacing w:after="160" w:before="280"/>
      </w:pPr>
      <w:r>
        <w:rPr>
          <w:rFonts w:ascii="Arial" w:cs="Arial" w:eastAsia="Arial" w:hAnsi="Arial"/>
          <w:b/>
          <w:bCs/>
          <w:sz w:val="28"/>
          <w:szCs w:val="28"/>
        </w:rPr>
        <w:t xml:space="preserve">4A. What the Developer Actually Sees</w:t>
      </w:r>
    </w:p>
    <w:p>
      <w:pPr>
        <w:spacing w:after="160"/>
      </w:pPr>
      <w:r>
        <w:rPr>
          <w:rFonts w:ascii="Arial" w:cs="Arial" w:eastAsia="Arial" w:hAnsi="Arial"/>
          <w:sz w:val="22"/>
          <w:szCs w:val="22"/>
        </w:rPr>
        <w:t xml:space="preserve">When an agent uses a tool, the developer’s context window typically shows a tool name and a one-line description. This is the moment of brand contact. Consider the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Without Prefix</w:t>
            </w:r>
          </w:p>
        </w:tc>
        <w:tc>
          <w:tcPr>
            <w:tcW w:type="dxa" w:w="312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With Sage Prefix</w:t>
            </w:r>
          </w:p>
        </w:tc>
        <w:tc>
          <w:tcPr>
            <w:tcW w:type="dxa" w:w="312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Effect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score — Evaluate an action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sage-score — Pre-action decision audit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Branded + outcome-first. Developer remembers the source.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guardrail — Check action safety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sage-guard — Sub-100ms decision gate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“sage-guard” is distinctive. “guardrail” is generic.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iterate — Refine a decision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sage-iterate — Iterative refinement with tracking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Prefix creates namespace. Developer sees a unified system.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baseline — Profile agent decisions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sage-profile — Agent decision tendency analysis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Renamed entirely. “sage-profile” is more intuitive.</w:t>
            </w:r>
          </w:p>
        </w:tc>
      </w:tr>
    </w:tbl>
    <w:p>
      <w:pPr>
        <w:spacing w:after="160"/>
      </w:pPr>
    </w:p>
    <w:p>
      <w:pPr>
        <w:pStyle w:val="Heading2"/>
        <w:spacing w:after="160" w:before="280"/>
      </w:pPr>
      <w:r>
        <w:rPr>
          <w:rFonts w:ascii="Arial" w:cs="Arial" w:eastAsia="Arial" w:hAnsi="Arial"/>
          <w:b/>
          <w:bCs/>
          <w:sz w:val="28"/>
          <w:szCs w:val="28"/>
        </w:rPr>
        <w:t xml:space="preserve">4B. Arguments For the Sage Prefix</w:t>
      </w:r>
    </w:p>
    <w:p>
      <w:pPr>
        <w:pStyle w:val="ListParagraph"/>
        <w:numPr>
          <w:ilvl w:val="0"/>
          <w:numId w:val="2"/>
        </w:numPr>
        <w:spacing w:after="100"/>
      </w:pPr>
      <w:r>
        <w:rPr>
          <w:rFonts w:ascii="Arial" w:cs="Arial" w:eastAsia="Arial" w:hAnsi="Arial"/>
          <w:b/>
          <w:bCs/>
          <w:sz w:val="22"/>
          <w:szCs w:val="22"/>
        </w:rPr>
        <w:t xml:space="preserve">Namespace clarity. </w:t>
      </w:r>
      <w:r>
        <w:rPr>
          <w:rFonts w:ascii="Arial" w:cs="Arial" w:eastAsia="Arial" w:hAnsi="Arial"/>
          <w:sz w:val="22"/>
          <w:szCs w:val="22"/>
        </w:rPr>
        <w:t xml:space="preserve">When a developer’s agent has 20+ tools installed, sage-* tools form a recognisable cluster. The developer can see at a glance which tools are part of the same reasoning system.</w:t>
      </w:r>
    </w:p>
    <w:p>
      <w:pPr>
        <w:pStyle w:val="ListParagraph"/>
        <w:numPr>
          <w:ilvl w:val="0"/>
          <w:numId w:val="2"/>
        </w:numPr>
        <w:spacing w:after="100"/>
      </w:pPr>
      <w:r>
        <w:rPr>
          <w:rFonts w:ascii="Arial" w:cs="Arial" w:eastAsia="Arial" w:hAnsi="Arial"/>
          <w:b/>
          <w:bCs/>
          <w:sz w:val="22"/>
          <w:szCs w:val="22"/>
        </w:rPr>
        <w:t xml:space="preserve">Brand compounding. </w:t>
      </w:r>
      <w:r>
        <w:rPr>
          <w:rFonts w:ascii="Arial" w:cs="Arial" w:eastAsia="Arial" w:hAnsi="Arial"/>
          <w:sz w:val="22"/>
          <w:szCs w:val="22"/>
        </w:rPr>
        <w:t xml:space="preserve">Every time an agent invokes sage-score, the developer sees the name. Over dozens of calls, “sage” becomes associated with quality reasoning. This is free, passive brand building.</w:t>
      </w:r>
    </w:p>
    <w:p>
      <w:pPr>
        <w:pStyle w:val="ListParagraph"/>
        <w:numPr>
          <w:ilvl w:val="0"/>
          <w:numId w:val="2"/>
        </w:numPr>
        <w:spacing w:after="100"/>
      </w:pPr>
      <w:r>
        <w:rPr>
          <w:rFonts w:ascii="Arial" w:cs="Arial" w:eastAsia="Arial" w:hAnsi="Arial"/>
          <w:b/>
          <w:bCs/>
          <w:sz w:val="22"/>
          <w:szCs w:val="22"/>
        </w:rPr>
        <w:t xml:space="preserve">Curiosity without philosophy. </w:t>
      </w:r>
      <w:r>
        <w:rPr>
          <w:rFonts w:ascii="Arial" w:cs="Arial" w:eastAsia="Arial" w:hAnsi="Arial"/>
          <w:sz w:val="22"/>
          <w:szCs w:val="22"/>
        </w:rPr>
        <w:t xml:space="preserve">“Sage” is evocative but ambiguous. It suggests wisdom without requiring the developer to care about Stoicism. A developer who sees sage-guard in their logs might search “sage reasoning API” out of curiosity, leading straight to sagereasoning.com.</w:t>
      </w:r>
    </w:p>
    <w:p>
      <w:pPr>
        <w:pStyle w:val="ListParagraph"/>
        <w:numPr>
          <w:ilvl w:val="0"/>
          <w:numId w:val="2"/>
        </w:numPr>
        <w:spacing w:after="100"/>
      </w:pPr>
      <w:r>
        <w:rPr>
          <w:rFonts w:ascii="Arial" w:cs="Arial" w:eastAsia="Arial" w:hAnsi="Arial"/>
          <w:b/>
          <w:bCs/>
          <w:sz w:val="22"/>
          <w:szCs w:val="22"/>
        </w:rPr>
        <w:t xml:space="preserve">Discoverability via autocomplete. </w:t>
      </w:r>
      <w:r>
        <w:rPr>
          <w:rFonts w:ascii="Arial" w:cs="Arial" w:eastAsia="Arial" w:hAnsi="Arial"/>
          <w:sz w:val="22"/>
          <w:szCs w:val="22"/>
        </w:rPr>
        <w:t xml:space="preserve">Developers working in code editors or CLI tools often use autocomplete. Typing “sage-” would surface all SageReasoning tools. This is a practical UX advantage.</w:t>
      </w:r>
    </w:p>
    <w:p>
      <w:pPr>
        <w:pStyle w:val="ListParagraph"/>
        <w:numPr>
          <w:ilvl w:val="0"/>
          <w:numId w:val="2"/>
        </w:numPr>
        <w:spacing w:after="100"/>
      </w:pPr>
      <w:r>
        <w:rPr>
          <w:rFonts w:ascii="Arial" w:cs="Arial" w:eastAsia="Arial" w:hAnsi="Arial"/>
          <w:b/>
          <w:bCs/>
          <w:sz w:val="22"/>
          <w:szCs w:val="22"/>
        </w:rPr>
        <w:t xml:space="preserve">Collision avoidance. </w:t>
      </w:r>
      <w:r>
        <w:rPr>
          <w:rFonts w:ascii="Arial" w:cs="Arial" w:eastAsia="Arial" w:hAnsi="Arial"/>
          <w:sz w:val="22"/>
          <w:szCs w:val="22"/>
        </w:rPr>
        <w:t xml:space="preserve">“score,” “guardrail,” and “iterate” are generic terms that could collide with other tools. “sage-score” is unique.</w:t>
      </w:r>
    </w:p>
    <w:p>
      <w:pPr>
        <w:pStyle w:val="Heading2"/>
        <w:spacing w:after="160" w:before="280"/>
      </w:pPr>
      <w:r>
        <w:rPr>
          <w:rFonts w:ascii="Arial" w:cs="Arial" w:eastAsia="Arial" w:hAnsi="Arial"/>
          <w:b/>
          <w:bCs/>
          <w:sz w:val="28"/>
          <w:szCs w:val="28"/>
        </w:rPr>
        <w:t xml:space="preserve">4C. Arguments Against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Concern</w:t>
            </w:r>
          </w:p>
        </w:tc>
        <w:tc>
          <w:tcPr>
            <w:tcW w:type="dxa" w:w="312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Severity</w:t>
            </w:r>
          </w:p>
        </w:tc>
        <w:tc>
          <w:tcPr>
            <w:tcW w:type="dxa" w:w="312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Adds 5 characters to every tool 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Negligible cost. Context window budgets are measured in thousands of tokens.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Feels branded rather than functional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Pair the prefix with outcome-first description. Description does functional work; prefix does brand work.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Brand not yet established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This is exactly when to establish it. Prefixing early means the brand grows with adoption.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Some agents prefer descriptive names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Low</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The description field handles discoverability. The name handles recognition. Both work together.</w:t>
            </w:r>
          </w:p>
        </w:tc>
      </w:tr>
    </w:tbl>
    <w:p>
      <w:pPr>
        <w:spacing w:after="160"/>
      </w:pPr>
    </w:p>
    <w:p>
      <w:pPr>
        <w:pStyle w:val="Heading2"/>
        <w:spacing w:after="160" w:before="280"/>
      </w:pPr>
      <w:r>
        <w:rPr>
          <w:rFonts w:ascii="Arial" w:cs="Arial" w:eastAsia="Arial" w:hAnsi="Arial"/>
          <w:b/>
          <w:bCs/>
          <w:sz w:val="28"/>
          <w:szCs w:val="28"/>
        </w:rPr>
        <w:t xml:space="preserve">4D. Recommended Naming Convention</w:t>
      </w:r>
    </w:p>
    <w:p>
      <w:pPr>
        <w:spacing w:after="160"/>
      </w:pPr>
      <w:r>
        <w:rPr>
          <w:rFonts w:ascii="Arial" w:cs="Arial" w:eastAsia="Arial" w:hAnsi="Arial"/>
          <w:sz w:val="22"/>
          <w:szCs w:val="22"/>
        </w:rPr>
        <w:t xml:space="preserve">Use “sage-” as the prefix for skill names (what appears in context windows and tool registries) while keeping API paths clean: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Skill Name</w:t>
            </w:r>
          </w:p>
        </w:tc>
        <w:tc>
          <w:tcPr>
            <w:tcW w:type="dxa" w:w="2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API Path</w:t>
            </w:r>
          </w:p>
        </w:tc>
        <w:tc>
          <w:tcPr>
            <w:tcW w:type="dxa" w:w="268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Outcome Description</w:t>
            </w:r>
          </w:p>
        </w:tc>
        <w:tc>
          <w:tcPr>
            <w:tcW w:type="dxa" w:w="268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sage-score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/api/score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Pre-action decision audit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Core offering. “Score” is the verb.</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sage-decide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/api/score-decision</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Option ranker with justification</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“Decide” is clearer than “score-decision.”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sage-guard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/api/guardrail</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Sub-100ms decision gate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Short, memorable, functional.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sage-iterate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/api/score-iterate</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Iterative refinement with tracking</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“Iterate” captures the unique loop.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sage-filter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/api/score-social</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Pre-publish content filter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“Filter” positions alongside content moderation.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sage-audit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/api/score-document</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Document quality audit + trust badge</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“Audit” is the developer’s mental model.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sage-profile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/api/baseline/agent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Agent decision tendency analysis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“Profile” is more intuitive than “baseline.”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sage-reflect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/api/reflect</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End-of-day decision review</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Already evocative. Retains the original.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sage-diagnose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/api/assessment/*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Decision-making diagnostic</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“Diagnose” signals depth.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sage-context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/api/stoic-brain</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Reasoning framework context loader</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“Context” tells agents: use at initialisation.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sage-converse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/api/score-conversation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Conversation quality breakdown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Short, clear, no ambiguity.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sage-scenario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/api/score-scenario</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Decision scenario generator + scorer</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Already descriptive. Retains the original.</w:t>
            </w:r>
          </w:p>
        </w:tc>
      </w:tr>
    </w:tbl>
    <w:p>
      <w:pPr>
        <w:spacing w:after="160"/>
      </w:pPr>
    </w:p>
    <w:p>
      <w:pPr>
        <w:spacing w:after="160"/>
      </w:pPr>
      <w:r>
        <w:rPr>
          <w:rFonts w:ascii="Arial" w:cs="Arial" w:eastAsia="Arial" w:hAnsi="Arial"/>
          <w:b/>
          <w:bCs/>
          <w:sz w:val="22"/>
          <w:szCs w:val="22"/>
        </w:rPr>
        <w:t xml:space="preserve">Note: </w:t>
      </w:r>
      <w:r>
        <w:rPr>
          <w:rFonts w:ascii="Arial" w:cs="Arial" w:eastAsia="Arial" w:hAnsi="Arial"/>
          <w:sz w:val="22"/>
          <w:szCs w:val="22"/>
        </w:rPr>
        <w:t xml:space="preserve">API paths remain unchanged. The sage- prefix applies only to the skill name layer — what agents and developers see during discovery and in their tool registries. This means zero breaking changes to existing integrations.</w:t>
      </w:r>
    </w:p>
    <w:p>
      <w:pPr>
        <w:pStyle w:val="Heading1"/>
        <w:spacing w:after="200" w:before="360"/>
      </w:pPr>
      <w:r>
        <w:rPr>
          <w:rFonts w:ascii="Arial" w:cs="Arial" w:eastAsia="Arial" w:hAnsi="Arial"/>
          <w:b/>
          <w:bCs/>
          <w:sz w:val="32"/>
          <w:szCs w:val="32"/>
        </w:rPr>
        <w:t xml:space="preserve">5. Context Window as Free Advertising</w:t>
      </w:r>
    </w:p>
    <w:p>
      <w:pPr>
        <w:pStyle w:val="Heading3"/>
        <w:spacing w:after="120" w:before="240"/>
      </w:pPr>
      <w:r>
        <w:rPr>
          <w:rFonts w:ascii="Arial" w:cs="Arial" w:eastAsia="Arial" w:hAnsi="Arial"/>
          <w:b/>
          <w:bCs/>
          <w:sz w:val="24"/>
          <w:szCs w:val="24"/>
        </w:rPr>
        <w:t xml:space="preserve">Recommended Addition: New Consideration in Section 7 (Conclusions)</w:t>
      </w:r>
    </w:p>
    <w:p>
      <w:pPr>
        <w:spacing w:after="160"/>
      </w:pPr>
      <w:r>
        <w:rPr>
          <w:rFonts w:ascii="Arial" w:cs="Arial" w:eastAsia="Arial" w:hAnsi="Arial"/>
          <w:sz w:val="22"/>
          <w:szCs w:val="22"/>
        </w:rPr>
        <w:t xml:space="preserve">The existing analysis identifies three missing themes: Discoverability, Developer Experience, and Commercial Infrastructure. This brainstorm surfaces a fourth consideration that crosscuts all three: context window visibility.</w:t>
      </w:r>
    </w:p>
    <w:p>
      <w:pPr>
        <w:spacing w:after="160"/>
      </w:pPr>
      <w:r>
        <w:rPr>
          <w:rFonts w:ascii="Arial" w:cs="Arial" w:eastAsia="Arial" w:hAnsi="Arial"/>
          <w:sz w:val="22"/>
          <w:szCs w:val="22"/>
        </w:rPr>
        <w:t xml:space="preserve">Every time an agent uses a SageReasoning skill, the developer sees the skill name and description in their context window, logs, or tool selection UI. This is not a marketing surface in the traditional sense — it is a product surface that happens to function as marketing. The implication is that every skill description is both a routing signal for agents and a value proposition for developers, simultaneously.</w:t>
      </w:r>
    </w:p>
    <w:p>
      <w:pPr>
        <w:spacing w:after="160"/>
      </w:pPr>
      <w:r>
        <w:rPr>
          <w:rFonts w:ascii="Arial" w:cs="Arial" w:eastAsia="Arial" w:hAnsi="Arial"/>
          <w:sz w:val="22"/>
          <w:szCs w:val="22"/>
        </w:rPr>
        <w:t xml:space="preserve">This means skill description quality has a direct revenue impact. A developer who sees 50 sage-guard invocations in their agent’s logs, each accompanied by “Sub-100ms decision gate — $0.001,” is being reminded 50 times that SageReasoning is fast, cheap, and useful. That developer is far more likely to upgrade to a paid tier than one who sees 50 instances of “Stoic ethical guardrail check.”</w:t>
      </w:r>
    </w:p>
    <w:p>
      <w:pPr>
        <w:spacing w:after="160"/>
      </w:pPr>
      <w:r>
        <w:rPr>
          <w:rFonts w:ascii="Arial" w:cs="Arial" w:eastAsia="Arial" w:hAnsi="Arial"/>
          <w:b/>
          <w:bCs/>
          <w:sz w:val="22"/>
          <w:szCs w:val="22"/>
        </w:rPr>
        <w:t xml:space="preserve">Recommended amendment to Theme 1 (Discoverability): </w:t>
      </w:r>
      <w:r>
        <w:rPr>
          <w:rFonts w:ascii="Arial" w:cs="Arial" w:eastAsia="Arial" w:hAnsi="Arial"/>
          <w:sz w:val="22"/>
          <w:szCs w:val="22"/>
        </w:rPr>
        <w:t xml:space="preserve">Expand the theme to include “outcome-clarity” alongside discoverability. It is not enough for agents to find SageReasoning. The descriptions they find must communicate value in developer terms, because those descriptions are seen by developers every time the agent runs.</w:t>
      </w:r>
    </w:p>
    <w:p>
      <w:pPr>
        <w:pStyle w:val="Heading1"/>
        <w:spacing w:after="200" w:before="360"/>
      </w:pPr>
      <w:r>
        <w:rPr>
          <w:rFonts w:ascii="Arial" w:cs="Arial" w:eastAsia="Arial" w:hAnsi="Arial"/>
          <w:b/>
          <w:bCs/>
          <w:sz w:val="32"/>
          <w:szCs w:val="32"/>
        </w:rPr>
        <w:t xml:space="preserve">6. Composability Language Should Describe Outcomes</w:t>
      </w:r>
    </w:p>
    <w:p>
      <w:pPr>
        <w:pStyle w:val="Heading3"/>
        <w:spacing w:after="120" w:before="240"/>
      </w:pPr>
      <w:r>
        <w:rPr>
          <w:rFonts w:ascii="Arial" w:cs="Arial" w:eastAsia="Arial" w:hAnsi="Arial"/>
          <w:b/>
          <w:bCs/>
          <w:sz w:val="24"/>
          <w:szCs w:val="24"/>
        </w:rPr>
        <w:t xml:space="preserve">Recommended Amendment to Section 1B (Composability)</w:t>
      </w:r>
    </w:p>
    <w:p>
      <w:pPr>
        <w:spacing w:after="160"/>
      </w:pPr>
      <w:r>
        <w:rPr>
          <w:rFonts w:ascii="Arial" w:cs="Arial" w:eastAsia="Arial" w:hAnsi="Arial"/>
          <w:sz w:val="22"/>
          <w:szCs w:val="22"/>
        </w:rPr>
        <w:t xml:space="preserve">The existing analysis recommends adding next_steps fields and chain links between endpoints. This amendment specifies that those chain descriptions should use outcome language, not method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Chain</w:t>
            </w:r>
          </w:p>
        </w:tc>
        <w:tc>
          <w:tcPr>
            <w:tcW w:type="dxa" w:w="351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Method Language (Current Rec.)</w:t>
            </w:r>
          </w:p>
        </w:tc>
        <w:tc>
          <w:tcPr>
            <w:tcW w:type="dxa" w:w="351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Outcome Language (Amended)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sage-guard → sage-iterate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Chains to score-iterate for deliberation on blocked actions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Blocked? Refine the action through iterative improvement. Track progress over 3–5 cycles.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sage-decide → sage-guard</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Chains to guardrail for ethical check on winning option</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Top-ranked option chosen? Run a quick go/no-go gate before acting. &lt;100ms.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sage-filter → sage-iterate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Chains to score-iterate when recommendation is revise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Content flagged? Iteratively improve it with measurable quality tracking.</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sage-profile → sage-diagnose</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Chains to assessment for deeper evaluation of growth edge</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Blind spots identified? Run a deeper diagnostic to map specific improvement areas.</w:t>
            </w:r>
          </w:p>
        </w:tc>
      </w:tr>
    </w:tbl>
    <w:p>
      <w:pPr>
        <w:spacing w:after="160"/>
      </w:pPr>
    </w:p>
    <w:p>
      <w:pPr>
        <w:spacing w:after="160"/>
      </w:pPr>
      <w:r>
        <w:rPr>
          <w:rFonts w:ascii="Arial" w:cs="Arial" w:eastAsia="Arial" w:hAnsi="Arial"/>
          <w:sz w:val="22"/>
          <w:szCs w:val="22"/>
        </w:rPr>
        <w:t xml:space="preserve">The outcome language tells the developer what happens next and why they’d want it. The method language tells them which endpoint to call. Both are needed, but the outcome should come first.</w:t>
      </w:r>
    </w:p>
    <w:p>
      <w:pPr>
        <w:pStyle w:val="Heading1"/>
        <w:spacing w:after="200" w:before="360"/>
      </w:pPr>
      <w:r>
        <w:rPr>
          <w:rFonts w:ascii="Arial" w:cs="Arial" w:eastAsia="Arial" w:hAnsi="Arial"/>
          <w:b/>
          <w:bCs/>
          <w:sz w:val="32"/>
          <w:szCs w:val="32"/>
        </w:rPr>
        <w:t xml:space="preserve">7. Priority Ranking Amendment</w:t>
      </w:r>
    </w:p>
    <w:p>
      <w:pPr>
        <w:pStyle w:val="Heading3"/>
        <w:spacing w:after="120" w:before="240"/>
      </w:pPr>
      <w:r>
        <w:rPr>
          <w:rFonts w:ascii="Arial" w:cs="Arial" w:eastAsia="Arial" w:hAnsi="Arial"/>
          <w:b/>
          <w:bCs/>
          <w:sz w:val="24"/>
          <w:szCs w:val="24"/>
        </w:rPr>
        <w:t xml:space="preserve">Recommended Amendment to Section 6 (Priority Ranking)</w:t>
      </w:r>
    </w:p>
    <w:p>
      <w:pPr>
        <w:spacing w:after="160"/>
      </w:pPr>
      <w:r>
        <w:rPr>
          <w:rFonts w:ascii="Arial" w:cs="Arial" w:eastAsia="Arial" w:hAnsi="Arial"/>
          <w:sz w:val="22"/>
          <w:szCs w:val="22"/>
        </w:rPr>
        <w:t xml:space="preserve">The existing priority ranking of 17 missing items should be amended to include one additional item:</w:t>
      </w:r>
    </w:p>
    <w:p>
      <w:pPr>
        <w:spacing w:after="160"/>
      </w:pPr>
      <w:r>
        <w:rPr>
          <w:rFonts w:ascii="Arial" w:cs="Arial" w:eastAsia="Arial" w:hAnsi="Arial"/>
          <w:b/>
          <w:bCs/>
          <w:sz w:val="22"/>
          <w:szCs w:val="22"/>
        </w:rPr>
        <w:t xml:space="preserve">New Item — Skill Description Rewrite (Priority: HIGH, Effort: LOW): </w:t>
      </w:r>
      <w:r>
        <w:rPr>
          <w:rFonts w:ascii="Arial" w:cs="Arial" w:eastAsia="Arial" w:hAnsi="Arial"/>
          <w:sz w:val="22"/>
          <w:szCs w:val="22"/>
        </w:rPr>
        <w:t xml:space="preserve">Rewrite all endpoint descriptions, AGENTS.md entries, and OpenAPI summaries using outcome-first language. This is a text-only change with zero code required, but it directly affects agent routing decisions and developer perception at point of discovery. Should be bundled with Item 1 (AGENTS.md V3 rewrite) as a single deliverable.</w:t>
      </w:r>
    </w:p>
    <w:p>
      <w:pPr>
        <w:spacing w:after="160"/>
      </w:pPr>
      <w:r>
        <w:rPr>
          <w:rFonts w:ascii="Arial" w:cs="Arial" w:eastAsia="Arial" w:hAnsi="Arial"/>
          <w:sz w:val="22"/>
          <w:szCs w:val="22"/>
        </w:rPr>
        <w:t xml:space="preserve">Additionally, the sage- prefix naming convention should be included as a decision item in Phase B (Skills Layer), since the GET /skills endpoint will need to return skill names. Deciding the naming convention before building that endpoint avoids a retroactive rename.</w:t>
      </w:r>
    </w:p>
    <w:p>
      <w:r>
        <w:br w:type="page"/>
      </w:r>
    </w:p>
    <w:p>
      <w:pPr>
        <w:pStyle w:val="Heading1"/>
        <w:spacing w:after="200" w:before="360"/>
      </w:pPr>
      <w:r>
        <w:rPr>
          <w:rFonts w:ascii="Arial" w:cs="Arial" w:eastAsia="Arial" w:hAnsi="Arial"/>
          <w:b/>
          <w:bCs/>
          <w:sz w:val="32"/>
          <w:szCs w:val="32"/>
        </w:rPr>
        <w:t xml:space="preserve">8. Summary of All Amendments and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700"/>
        <w:gridCol w:w="1200"/>
        <w:gridCol w:w="2860"/>
      </w:tblGrid>
      <w:tr>
        <w:tc>
          <w:tcPr>
            <w:tcW w:type="dxa" w:w="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Section Affected</w:t>
            </w:r>
          </w:p>
        </w:tc>
        <w:tc>
          <w:tcPr>
            <w:tcW w:type="dxa" w:w="27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Change</w:t>
            </w:r>
          </w:p>
        </w:tc>
        <w:tc>
          <w:tcPr>
            <w:tcW w:type="dxa" w:w="1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Type</w:t>
            </w:r>
          </w:p>
        </w:tc>
        <w:tc>
          <w:tcPr>
            <w:tcW w:type="dxa" w:w="28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Rationale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1A: Routing Signal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Change contract template from Receives/Returns to Outcome/Cost+Speed/Chains To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Amendment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Agents route on outcome, not input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2B: Skill Contracts</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Specify GET /skills response schema with outcome as primary field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Amendment</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Skills endpoint needs defined structure before build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2F: Reframe Positioning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Add full endpoint description rewrite table (outcome-first for all 12 endpoints)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Addition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Positioning applies to every skill, not just marketing pages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1B: Composability</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Rewrite chain descriptions to use outcome language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Amendment</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Developers need to know why to chain, not just how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7: Conclusions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Add context-window-as-advertising insight to Theme 1 (Discoverability)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Amendment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Skill descriptions are both routing signals and marketing</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6: Priority Ranking</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Add “Skill Description Rewrite” as new priority item (HIGH impact, LOW effort)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Addition</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Text-only change affecting routing and perception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New Section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Sage prefix naming convention with full mapping table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Addition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Naming must be decided before GET /skills is built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New Section</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Outcome-first description rewrite table for all endpoints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Addition</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sz w:val="20"/>
                <w:szCs w:val="20"/>
              </w:rPr>
              <w:t xml:space="preserve">Provides the actual rewritten text, not just the principle</w:t>
            </w:r>
          </w:p>
        </w:tc>
      </w:tr>
    </w:tbl>
    <w:p>
      <w:pPr>
        <w:spacing w:after="200"/>
      </w:pPr>
    </w:p>
    <w:p>
      <w:pPr>
        <w:pStyle w:val="Heading2"/>
        <w:spacing w:after="160" w:before="280"/>
      </w:pPr>
      <w:r>
        <w:rPr>
          <w:rFonts w:ascii="Arial" w:cs="Arial" w:eastAsia="Arial" w:hAnsi="Arial"/>
          <w:b/>
          <w:bCs/>
          <w:sz w:val="28"/>
          <w:szCs w:val="28"/>
        </w:rPr>
        <w:t xml:space="preserve">Bottom Line</w:t>
      </w:r>
    </w:p>
    <w:p>
      <w:pPr>
        <w:spacing w:after="160"/>
      </w:pPr>
      <w:r>
        <w:rPr>
          <w:rFonts w:ascii="Arial" w:cs="Arial" w:eastAsia="Arial" w:hAnsi="Arial"/>
          <w:sz w:val="22"/>
          <w:szCs w:val="22"/>
        </w:rPr>
        <w:t xml:space="preserve">The Strategic Feedback Analysis correctly identifies that philosophy-first framing is the wrong entry point. This brainstorm extends that insight from marketing surfaces to every point of contact: skill descriptions, contract fields, chain explanations, and tool names. The sage- prefix creates brand recognition and curiosity without requiring philosophical buy-in. The outcome-first descriptions turn every agent invocation into a passive value demonstration for developers. Together, these changes make the existing 28 endpoints more discoverable, more compelling, and more likely to convert trial users into paying customers — without writing a single new line of code.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SageReasoning — Developer-Outcome Brainstorm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2026-04-01T08:49:29.650Z</dcterms:created>
  <dcterms:modified xsi:type="dcterms:W3CDTF">2026-04-01T08:49:29.651Z</dcterms:modified>
</cp:coreProperties>
</file>

<file path=docProps/custom.xml><?xml version="1.0" encoding="utf-8"?>
<Properties xmlns="http://schemas.openxmlformats.org/officeDocument/2006/custom-properties" xmlns:vt="http://schemas.openxmlformats.org/officeDocument/2006/docPropsVTypes"/>
</file>