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D3B2D"/>
          <w:sz w:val="44"/>
          <w:szCs w:val="44"/>
        </w:rPr>
        <w:t xml:space="preserve">SageReasoning V3 Adoption Scope</w:t>
      </w:r>
    </w:p>
    <w:p>
      <w:pPr>
        <w:spacing w:after="80"/>
        <w:jc w:val="center"/>
      </w:pPr>
      <w:r>
        <w:rPr>
          <w:rFonts w:ascii="Arial" w:cs="Arial" w:eastAsia="Arial" w:hAnsi="Arial"/>
          <w:color w:val="4A5F4A"/>
          <w:sz w:val="28"/>
          <w:szCs w:val="28"/>
        </w:rPr>
        <w:t xml:space="preserve">Revised Addendum: Phases 12–19</w:t>
      </w:r>
    </w:p>
    <w:p>
      <w:pPr>
        <w:spacing w:after="40"/>
        <w:jc w:val="center"/>
      </w:pPr>
      <w:r>
        <w:rPr>
          <w:rFonts w:ascii="Arial" w:cs="Arial" w:eastAsia="Arial" w:hAnsi="Arial"/>
          <w:color w:val="666666"/>
          <w:sz w:val="20"/>
          <w:szCs w:val="20"/>
        </w:rPr>
        <w:t xml:space="preserve">5-Layer Architecture · Deterministic Tools · Scripted Workflows · Agent Discovery</w:t>
      </w:r>
    </w:p>
    <w:p>
      <w:pPr>
        <w:spacing w:after="300"/>
        <w:jc w:val="center"/>
      </w:pPr>
      <w:r>
        <w:rPr>
          <w:rFonts w:ascii="Arial" w:cs="Arial" w:eastAsia="Arial" w:hAnsi="Arial"/>
          <w:color w:val="666666"/>
          <w:sz w:val="20"/>
          <w:szCs w:val="20"/>
        </w:rPr>
        <w:t xml:space="preserve">Date: 31 March 2026</w:t>
      </w:r>
    </w:p>
    <w:p>
      <w:pPr>
        <w:pStyle w:val="Heading1"/>
        <w:spacing w:after="200" w:before="360"/>
      </w:pPr>
      <w:r>
        <w:rPr>
          <w:rFonts w:ascii="Arial" w:cs="Arial" w:eastAsia="Arial" w:hAnsi="Arial"/>
          <w:b/>
          <w:bCs/>
          <w:color w:val="2D3B2D"/>
          <w:sz w:val="32"/>
          <w:szCs w:val="32"/>
        </w:rPr>
        <w:t xml:space="preserve">Manifest Amendment: R8 — Glossary Enforcement (Revised)</w:t>
      </w:r>
    </w:p>
    <w:p>
      <w:pPr>
        <w:spacing w:after="120"/>
      </w:pPr>
      <w:r>
        <w:rPr>
          <w:rFonts w:ascii="Arial" w:cs="Arial" w:eastAsia="Arial" w:hAnsi="Arial"/>
          <w:color w:val="000000"/>
          <w:sz w:val="20"/>
          <w:szCs w:val="20"/>
        </w:rPr>
        <w:t xml:space="preserve">The following replaces the existing R8 rule text in manifest.md.</w:t>
      </w:r>
    </w:p>
    <w:p>
      <w:pPr>
        <w:pBdr>
          <w:left w:val="single" w:color="7D9468" w:sz="6" w:space="8"/>
        </w:pBdr>
        <w:spacing w:after="60"/>
        <w:ind w:left="360"/>
      </w:pPr>
      <w:r>
        <w:rPr>
          <w:rFonts w:ascii="Arial" w:cs="Arial" w:eastAsia="Arial" w:hAnsi="Arial"/>
          <w:b/>
          <w:bCs/>
          <w:sz w:val="20"/>
          <w:szCs w:val="20"/>
        </w:rPr>
        <w:t xml:space="preserve">R8 — Glossary Enforcement (Three-Tier)</w:t>
      </w:r>
    </w:p>
    <w:p>
      <w:pPr>
        <w:pBdr>
          <w:left w:val="single" w:color="7D9468" w:sz="6" w:space="8"/>
        </w:pBdr>
        <w:spacing w:after="120"/>
        <w:ind w:left="360"/>
      </w:pPr>
      <w:r>
        <w:rPr>
          <w:rFonts w:ascii="Arial" w:cs="Arial" w:eastAsia="Arial" w:hAnsi="Arial"/>
          <w:sz w:val="20"/>
          <w:szCs w:val="20"/>
        </w:rPr>
        <w:t xml:space="preserve">All SageReasoning content must use terms as defined in the Controlled Glossary v3.0.0 (67 terms, 11 categories). Terminology presentation varies by audience:</w:t>
      </w:r>
    </w:p>
    <w:p>
      <w:pPr>
        <w:pBdr>
          <w:left w:val="single" w:color="7D9468" w:sz="6" w:space="8"/>
        </w:pBdr>
        <w:spacing w:after="80"/>
        <w:ind w:left="720"/>
      </w:pPr>
      <w:r>
        <w:rPr>
          <w:rFonts w:ascii="Arial" w:cs="Arial" w:eastAsia="Arial" w:hAnsi="Arial"/>
          <w:b/>
          <w:bCs/>
          <w:sz w:val="20"/>
          <w:szCs w:val="20"/>
        </w:rPr>
        <w:t xml:space="preserve">(8a) Data files and API responses: </w:t>
      </w:r>
      <w:r>
        <w:rPr>
          <w:rFonts w:ascii="Arial" w:cs="Arial" w:eastAsia="Arial" w:hAnsi="Arial"/>
          <w:sz w:val="20"/>
          <w:szCs w:val="20"/>
        </w:rPr>
        <w:t xml:space="preserve">Strict glossary. Greek technical terms required as primary identifiers. No English-only substitutions.</w:t>
      </w:r>
    </w:p>
    <w:p>
      <w:pPr>
        <w:pBdr>
          <w:left w:val="single" w:color="7D9468" w:sz="6" w:space="8"/>
        </w:pBdr>
        <w:spacing w:after="80"/>
        <w:ind w:left="720"/>
      </w:pPr>
      <w:r>
        <w:rPr>
          <w:rFonts w:ascii="Arial" w:cs="Arial" w:eastAsia="Arial" w:hAnsi="Arial"/>
          <w:b/>
          <w:bCs/>
          <w:sz w:val="20"/>
          <w:szCs w:val="20"/>
        </w:rPr>
        <w:t xml:space="preserve">(8b) Developer documentation: </w:t>
      </w:r>
      <w:r>
        <w:rPr>
          <w:rFonts w:ascii="Arial" w:cs="Arial" w:eastAsia="Arial" w:hAnsi="Arial"/>
          <w:sz w:val="20"/>
          <w:szCs w:val="20"/>
        </w:rPr>
        <w:t xml:space="preserve">English-first with Greek/technical terms in brackets alongside. Example: "Appropriate Action (kathekon)."</w:t>
      </w:r>
    </w:p>
    <w:p>
      <w:pPr>
        <w:pBdr>
          <w:left w:val="single" w:color="7D9468" w:sz="6" w:space="8"/>
        </w:pBdr>
        <w:spacing w:after="80"/>
        <w:ind w:left="720"/>
      </w:pPr>
      <w:r>
        <w:rPr>
          <w:rFonts w:ascii="Arial" w:cs="Arial" w:eastAsia="Arial" w:hAnsi="Arial"/>
          <w:b/>
          <w:bCs/>
          <w:sz w:val="20"/>
          <w:szCs w:val="20"/>
        </w:rPr>
        <w:t xml:space="preserve">(8c) User-facing website content: </w:t>
      </w:r>
      <w:r>
        <w:rPr>
          <w:rFonts w:ascii="Arial" w:cs="Arial" w:eastAsia="Arial" w:hAnsi="Arial"/>
          <w:sz w:val="20"/>
          <w:szCs w:val="20"/>
        </w:rPr>
        <w:t xml:space="preserve">English-only. Greek and technical terminology does not appear on webpages, journal prompts, or tool output displays. A Glossary page (linked from site navigation or footer) provides the full Greek/technical terminology for users who seek it.</w:t>
      </w:r>
    </w:p>
    <w:p>
      <w:pPr>
        <w:pBdr>
          <w:left w:val="single" w:color="7D9468" w:sz="6" w:space="8"/>
        </w:pBdr>
        <w:spacing w:after="80"/>
        <w:ind w:left="720"/>
      </w:pPr>
      <w:r>
        <w:rPr>
          <w:rFonts w:ascii="Arial" w:cs="Arial" w:eastAsia="Arial" w:hAnsi="Arial"/>
          <w:b/>
          <w:bCs/>
          <w:sz w:val="20"/>
          <w:szCs w:val="20"/>
        </w:rPr>
        <w:t xml:space="preserve">(8d) Skill contracts (agent-facing): </w:t>
      </w:r>
      <w:r>
        <w:rPr>
          <w:rFonts w:ascii="Arial" w:cs="Arial" w:eastAsia="Arial" w:hAnsi="Arial"/>
          <w:sz w:val="20"/>
          <w:szCs w:val="20"/>
        </w:rPr>
        <w:t xml:space="preserve">Plain English descriptions using outcome-focused language. Greek terms appear only in the data schema, never in the contract description sections.</w:t>
      </w:r>
    </w:p>
    <w:p>
      <w:pPr>
        <w:spacing w:after="120"/>
      </w:pPr>
      <w:r>
        <w:rPr>
          <w:rFonts w:ascii="Arial" w:cs="Arial" w:eastAsia="Arial" w:hAnsi="Arial"/>
          <w:b/>
          <w:bCs/>
          <w:sz w:val="20"/>
          <w:szCs w:val="20"/>
        </w:rPr>
        <w:t xml:space="preserve">Rationale: </w:t>
      </w:r>
      <w:r>
        <w:rPr>
          <w:rFonts w:ascii="Arial" w:cs="Arial" w:eastAsia="Arial" w:hAnsi="Arial"/>
          <w:sz w:val="20"/>
          <w:szCs w:val="20"/>
        </w:rPr>
        <w:t xml:space="preserve">R8a preserves philosophical precision where machines and scholars need it. R8b serves developers who need both clarity and traceability. R8c removes the vocabulary barrier for beginners while the Glossary page satisfies advanced practitioners. R8d ensures AI agents can discover and route to skills without requiring Stoic vocabulary in their goal descriptions.</w:t>
      </w:r>
    </w:p>
    <w:p>
      <w:pPr>
        <w:spacing w:after="120"/>
      </w:pPr>
      <w:r>
        <w:rPr>
          <w:rFonts w:ascii="Arial" w:cs="Arial" w:eastAsia="Arial" w:hAnsi="Arial"/>
          <w:b/>
          <w:bCs/>
          <w:sz w:val="20"/>
          <w:szCs w:val="20"/>
        </w:rPr>
        <w:t xml:space="preserve">Accepted trade-offs: </w:t>
      </w:r>
      <w:r>
        <w:rPr>
          <w:rFonts w:ascii="Arial" w:cs="Arial" w:eastAsia="Arial" w:hAnsi="Arial"/>
          <w:sz w:val="20"/>
          <w:szCs w:val="20"/>
        </w:rPr>
        <w:t xml:space="preserve">Reduced SEO for niche Greek philosophy search terms. Potential credibility gap with advanced Stoic practitioners, mitigated by the Glossary page and the data layer remaining fully precise.</w:t>
      </w:r>
    </w:p>
    <w:p>
      <w:r>
        <w:br w:type="page"/>
      </w:r>
    </w:p>
    <w:p>
      <w:pPr>
        <w:pStyle w:val="Heading1"/>
        <w:spacing w:after="200" w:before="360"/>
      </w:pPr>
      <w:r>
        <w:rPr>
          <w:rFonts w:ascii="Arial" w:cs="Arial" w:eastAsia="Arial" w:hAnsi="Arial"/>
          <w:b/>
          <w:bCs/>
          <w:color w:val="2D3B2D"/>
          <w:sz w:val="32"/>
          <w:szCs w:val="32"/>
        </w:rPr>
        <w:t xml:space="preserve">5-Layer Architecture (Primary Goal)</w:t>
      </w:r>
    </w:p>
    <w:p>
      <w:pPr>
        <w:spacing w:after="120"/>
      </w:pPr>
      <w:r>
        <w:rPr>
          <w:rFonts w:ascii="Arial" w:cs="Arial" w:eastAsia="Arial" w:hAnsi="Arial"/>
          <w:color w:val="000000"/>
          <w:sz w:val="20"/>
          <w:szCs w:val="20"/>
        </w:rPr>
        <w:t xml:space="preserve">All phases in this addendum are optimised toward building SageReasoning as a 5-layer reasoning infrastructure. Each layer builds on the one below it.</w:t>
      </w:r>
    </w:p>
    <w:p>
      <w:pPr>
        <w:pStyle w:val="ListParagraph"/>
        <w:numPr>
          <w:ilvl w:val="0"/>
          <w:numId w:val="2"/>
        </w:numPr>
        <w:spacing w:after="80"/>
      </w:pPr>
      <w:r>
        <w:rPr>
          <w:rFonts w:ascii="Arial" w:cs="Arial" w:eastAsia="Arial" w:hAnsi="Arial"/>
          <w:b/>
          <w:bCs/>
          <w:sz w:val="20"/>
          <w:szCs w:val="20"/>
        </w:rPr>
        <w:t xml:space="preserve">Layer 1 — Data:</w:t>
      </w:r>
      <w:r>
        <w:rPr>
          <w:rFonts w:ascii="Arial" w:cs="Arial" w:eastAsia="Arial" w:hAnsi="Arial"/>
          <w:sz w:val="20"/>
          <w:szCs w:val="20"/>
        </w:rPr>
        <w:t xml:space="preserve"> V3’s 8 JSON files. The philosophical source of truth. Never changes without re-derivation from original sources. (Covered by Phases 1–2 of the original scope.)</w:t>
      </w:r>
    </w:p>
    <w:p>
      <w:pPr>
        <w:pStyle w:val="ListParagraph"/>
        <w:numPr>
          <w:ilvl w:val="0"/>
          <w:numId w:val="2"/>
        </w:numPr>
        <w:spacing w:after="80"/>
      </w:pPr>
      <w:r>
        <w:rPr>
          <w:rFonts w:ascii="Arial" w:cs="Arial" w:eastAsia="Arial" w:hAnsi="Arial"/>
          <w:b/>
          <w:bCs/>
          <w:sz w:val="20"/>
          <w:szCs w:val="20"/>
        </w:rPr>
        <w:t xml:space="preserve">Layer 2 — Deterministic Tools:</w:t>
      </w:r>
      <w:r>
        <w:rPr>
          <w:rFonts w:ascii="Arial" w:cs="Arial" w:eastAsia="Arial" w:hAnsi="Arial"/>
          <w:sz w:val="20"/>
          <w:szCs w:val="20"/>
        </w:rPr>
        <w:t xml:space="preserve"> Rule-based classifiers, rankers, mappers, and calculators derived from V3’s taxonomies. Zero marginal cost. Fully testable. (New: Phase 12.)</w:t>
      </w:r>
    </w:p>
    <w:p>
      <w:pPr>
        <w:pStyle w:val="ListParagraph"/>
        <w:numPr>
          <w:ilvl w:val="0"/>
          <w:numId w:val="2"/>
        </w:numPr>
        <w:spacing w:after="80"/>
      </w:pPr>
      <w:r>
        <w:rPr>
          <w:rFonts w:ascii="Arial" w:cs="Arial" w:eastAsia="Arial" w:hAnsi="Arial"/>
          <w:b/>
          <w:bCs/>
          <w:sz w:val="20"/>
          <w:szCs w:val="20"/>
        </w:rPr>
        <w:t xml:space="preserve">Layer 3 — LLM Tools:</w:t>
      </w:r>
      <w:r>
        <w:rPr>
          <w:rFonts w:ascii="Arial" w:cs="Arial" w:eastAsia="Arial" w:hAnsi="Arial"/>
          <w:sz w:val="20"/>
          <w:szCs w:val="20"/>
        </w:rPr>
        <w:t xml:space="preserve"> Interpretive evaluation, passion identification, narrative synthesis. Per-call cost. (Covered by Phases 3–9 of the original scope, optimised by Phase 13.)</w:t>
      </w:r>
    </w:p>
    <w:p>
      <w:pPr>
        <w:pStyle w:val="ListParagraph"/>
        <w:numPr>
          <w:ilvl w:val="0"/>
          <w:numId w:val="2"/>
        </w:numPr>
        <w:spacing w:after="80"/>
      </w:pPr>
      <w:r>
        <w:rPr>
          <w:rFonts w:ascii="Arial" w:cs="Arial" w:eastAsia="Arial" w:hAnsi="Arial"/>
          <w:b/>
          <w:bCs/>
          <w:sz w:val="20"/>
          <w:szCs w:val="20"/>
        </w:rPr>
        <w:t xml:space="preserve">Layer 4 — Scripts:</w:t>
      </w:r>
      <w:r>
        <w:rPr>
          <w:rFonts w:ascii="Arial" w:cs="Arial" w:eastAsia="Arial" w:hAnsi="Arial"/>
          <w:sz w:val="20"/>
          <w:szCs w:val="20"/>
        </w:rPr>
        <w:t xml:space="preserve"> Predefined workflows chaining deterministic and LLM tools in fixed sequences. Website features and agent skills. (New: Phase 14.)</w:t>
      </w:r>
    </w:p>
    <w:p>
      <w:pPr>
        <w:pStyle w:val="ListParagraph"/>
        <w:numPr>
          <w:ilvl w:val="0"/>
          <w:numId w:val="2"/>
        </w:numPr>
        <w:spacing w:after="80"/>
      </w:pPr>
      <w:r>
        <w:rPr>
          <w:rFonts w:ascii="Arial" w:cs="Arial" w:eastAsia="Arial" w:hAnsi="Arial"/>
          <w:b/>
          <w:bCs/>
          <w:sz w:val="20"/>
          <w:szCs w:val="20"/>
        </w:rPr>
        <w:t xml:space="preserve">Layer 5 — Agent Orchestration:</w:t>
      </w:r>
      <w:r>
        <w:rPr>
          <w:rFonts w:ascii="Arial" w:cs="Arial" w:eastAsia="Arial" w:hAnsi="Arial"/>
          <w:sz w:val="20"/>
          <w:szCs w:val="20"/>
        </w:rPr>
        <w:t xml:space="preserve"> Autonomous goal-driven composition of scripts via skill contracts. Discovery, chain-ready output, developer gateway. (New: Phases 15–17.)</w:t>
      </w:r>
    </w:p>
    <w:p>
      <w:pPr>
        <w:spacing w:after="120"/>
      </w:pPr>
      <w:r>
        <w:rPr>
          <w:rFonts w:ascii="Arial" w:cs="Arial" w:eastAsia="Arial" w:hAnsi="Arial"/>
          <w:color w:val="000000"/>
          <w:sz w:val="20"/>
          <w:szCs w:val="20"/>
        </w:rPr>
        <w:t xml:space="preserve">The website serves human users at Layers 2–4. The API and skill contracts serve AI agents at Layers 2–5. The developer gateway provides visibility across all layers.</w:t>
      </w:r>
    </w:p>
    <w:p>
      <w:r>
        <w:br w:type="page"/>
      </w:r>
    </w:p>
    <w:p>
      <w:pPr>
        <w:pStyle w:val="Heading1"/>
        <w:spacing w:after="200" w:before="360"/>
      </w:pPr>
      <w:r>
        <w:rPr>
          <w:rFonts w:ascii="Arial" w:cs="Arial" w:eastAsia="Arial" w:hAnsi="Arial"/>
          <w:b/>
          <w:bCs/>
          <w:color w:val="2D3B2D"/>
          <w:sz w:val="32"/>
          <w:szCs w:val="32"/>
        </w:rPr>
        <w:t xml:space="preserve">Phase 12: Derive Deterministic Tools from V3 Dataset</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Extract every rule-based, fully testable tool from V3’s taxonomies. These tools accept structured input, produce identical output for identical input, require no LLM, and cost nothing to run.</w:t>
      </w:r>
    </w:p>
    <w:p>
      <w:pPr>
        <w:spacing w:after="120"/>
      </w:pPr>
      <w:r>
        <w:rPr>
          <w:rFonts w:ascii="Arial" w:cs="Arial" w:eastAsia="Arial" w:hAnsi="Arial"/>
          <w:b/>
          <w:bCs/>
          <w:sz w:val="20"/>
          <w:szCs w:val="20"/>
        </w:rPr>
        <w:t xml:space="preserve">Architecture principle: </w:t>
      </w:r>
      <w:r>
        <w:rPr>
          <w:rFonts w:ascii="Arial" w:cs="Arial" w:eastAsia="Arial" w:hAnsi="Arial"/>
          <w:sz w:val="20"/>
          <w:szCs w:val="20"/>
        </w:rPr>
        <w:t xml:space="preserve">LLM interpretation (unstructured to structured) → Deterministic classification/ranking/mapping → LLM synthesis (structured to narrative). The deterministic layer sits in the middle.</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Derive Control Classifier from stoic-brain.json dichotomy of control and psychology.json ruling faculty functions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R6a, 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Accepts tagged elements, classifies each as within/outside control. Exhaustive category list from sources. Unit tests for every category. Same input = same output.</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Derive Indifferents Ranker from value.json axia ratings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R6a, 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Accepts named indifferents, returns sorted list by selective value with axia ratings and source citations. Pure lookup + sort. Unit tests for all items in value.json.</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Derive Passions Taxonomy Classifier from passions.json 2x2 matrix and 25+ sub-species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R6a, 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Accepts structured tags (temporal dimension + evaluative dimension), returns exact root passion, matching sub-species, false judgement, and correction path. Unit tests for every sub-species.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Derive Oikeiosis Stage Mapper from action.json 5-stage sequence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R6a, 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Accepts relationship descriptions, classifies to oikeiosis stage, returns appropriate actions and priority rules. Unit tests for every stage boundary.</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Derive Deliberation Sequencer from action.json Cicero’s 5 questions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R6a, 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Enforces fixed question order. Validates answers. Applies Q5 resolution rule. Produces structured deliberation record. Unit tests for all question paths.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Derive Progress Calculator from progress.json Senecan grades and 4 dimensions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R6a, R6c, 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Accepts historical evaluation data, calculates: Senecan grade, direction of travel on each dimension, milestone thresholds crossed. All rules explicit. Unit tests for grade boundaries and dimension calculations.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P12.7</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Create shared TypeScript interfaces for structured input/output between LLM and deterministic layers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 R8a</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Every deterministic tool has typed input and output interfaces. LLM tools produce output matching deterministic input types. Interfaces documented.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P12.8</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Write comprehensive unit test suite for all 6 deterministic tools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Every possible input combination tested. 100% branch coverage on classification logic. Tests run in CI pipeline. No LLM calls in test suite.</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P1 and P2 complete (V3 files promoted, core library derived).</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Low. Pure logic derivation from explicit taxonomies. Fully testable.</w:t>
      </w:r>
    </w:p>
    <w:p>
      <w:r>
        <w:br w:type="page"/>
      </w:r>
    </w:p>
    <w:p>
      <w:pPr>
        <w:pStyle w:val="Heading1"/>
        <w:spacing w:after="200" w:before="360"/>
      </w:pPr>
      <w:r>
        <w:rPr>
          <w:rFonts w:ascii="Arial" w:cs="Arial" w:eastAsia="Arial" w:hAnsi="Arial"/>
          <w:b/>
          <w:bCs/>
          <w:color w:val="2D3B2D"/>
          <w:sz w:val="32"/>
          <w:szCs w:val="32"/>
        </w:rPr>
        <w:t xml:space="preserve">Phase 13: Cost Optimisation — Reduce LLM Dependency</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Refactor all website tools (Phases 3–9) to use the deterministic layer from Phase 12, reducing LLM calls per evaluation and lowering per-interaction cost.</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P13.1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Refactor Action Score tool (P3) to use LLM only for interpretation and synthesis; classification/ranking/mapping handled by Phase 12 tools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LLM prompt is shorter (interpretation only). Control classification, oikeiosis mapping, passion taxonomy classification, and progress calculation run deterministically. Measured reduction in token usage per evaluation.</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P13.2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Refactor Baseline Assessment (P7) to fully deterministic scoring where answer options are pre-mapped to progress dimensions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 R6c</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Zero LLM calls for baseline scoring. Senecan grade placement and dimension profile calculated by Progress Calculator. LLM only needed if narrative summary is requested.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P13.3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Refactor Document/Content Scorer (P5) to use Passions Taxonomy Classifier and Indifferents Ranker for deterministic portions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LLM interprets content; deterministic tools classify identified passions and rank value claims. Measured reduction in tokens.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P13.4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Refactor Ethical Scenarios (P6) to use Deliberation Sequencer for walkthrough structure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Cicero’s 5 questions presented by deterministic sequencer. LLM evaluates each option; deterministic tools classify outputs.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P13.5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Implement anonymous rate limiting by IP for ungated first-time scoring (3 evaluations per day)</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Anonymous users can score without account. Rate limit prevents abuse. Agent-specific guardrails remain per R5.</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P13.6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Measure and document cost reduction: tokens per evaluation before/after, cost per evaluation before/after</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Documented comparison. Paid-tier revenue-to-cost ratio recalculated with new architecture. Must still meet R5 2x threshold.</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Phase 12 complete. Phases 3–9 complete (tools exist to be refactored).</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Medium. Refactoring existing tools. Must verify outputs remain equivalent.</w:t>
      </w:r>
    </w:p>
    <w:p>
      <w:r>
        <w:br w:type="page"/>
      </w:r>
    </w:p>
    <w:p>
      <w:pPr>
        <w:pStyle w:val="Heading1"/>
        <w:spacing w:after="200" w:before="360"/>
      </w:pPr>
      <w:r>
        <w:rPr>
          <w:rFonts w:ascii="Arial" w:cs="Arial" w:eastAsia="Arial" w:hAnsi="Arial"/>
          <w:b/>
          <w:bCs/>
          <w:color w:val="2D3B2D"/>
          <w:sz w:val="32"/>
          <w:szCs w:val="32"/>
        </w:rPr>
        <w:t xml:space="preserve">Phase 14: Derive Scripted Workflows from Tool Chain</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Build 8 predefined workflows that chain deterministic and LLM tools into complete task sequences. Each script defines: trigger, step sequence, tool calls, input/output mapping between steps, and final output assembly.</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1: "Evaluate My Action" — form input → LLM interpretation → Control Classifier → Oikeiosis Mapper → LLM Evaluator → Passions Classifier → Progress Calculator → target diagram output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R3, 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Complete pipeline producing 5-dot target diagram. Includes refine-and-resubmit loop. Output includes detailed findings per stage. Disclaimer included (R3). No outcome promises (R9).</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2: "Before I Act" — proposed action → Deliberation Sequencer → Indifferents Ranker → Oikeiosis Mapper → LLM passion risk → Passions Classifier → deliberation record output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R3, 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Majority deterministic. LLM only for passion risk analysis. Produces completed Cicero 5-question deliberation record.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3: "What’s Driving Me" — evaluation history → Progress Calculator → Oikeiosis Mapper → LLM narrative synthesis → passion profile card</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 R3</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Framed as philosophical self-knowledge (R1). Identifies top 3 recurring patterns with false judgements and corrections.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4: "Audit This Content" — text input → LLM interpretation → Passions Classifier (writer + reader) → Indifferents Ranker → Control Classifier → LLM proximity assessment → content evaluation card</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 R3, 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Replaces V1 document scorer. Covers social media filter and policy review variants.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5: "Onboard an Agent" — discovery → Assessment Sequencer → LLM evaluation → Passions Classifier → Progress Calculator → gateway report to developer + profile to agent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R2, R4, 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Developer sees calibration profile via gateway. Agent receives structured self-reference profile. Terms prohibit employment evaluation (R2).</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6: "Track My Progress" — data pull → Progress Calculator → milestone check → LLM narrative → progress report with target overlay</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 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Schedulable (weekly/monthly). Shows dimension movement over time. Cards earned. Senecan grade status. Framed as practice markers (R1). No outcome promises (R9).</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P14.7</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7: "Compare My Options" — 2–5 options → (Oikeiosis Mapper + Indifferents Ranker + LLM Evaluator + Passions Classifier) per option → Deliberation Sequencer across all → comparison view</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R3, 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Side-by-side mini target diagrams per option. Cicero framework ranks options. Disclaimer (R3).</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P14.8</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Script 8: "Stakeholder Impact Map" — proposed action + parties → Oikeiosis Mapper → LLM impact analysis per level → Passions Classifier → Indifferents Ranker → Deliberation Sequencer → layered impact map</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R3, 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Concentric circle visualisation matching oikeiosis stages. Policy review use case. Disclaimer (R3).</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P14.9</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Write integration tests for all 8 scripts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Each script tested end-to-end with mock LLM responses. Deterministic steps verified against unit tests from P12.8. Output schemas validated.</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Phases 12 and 13 complete.</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Medium. Integration complexity across tool chain.</w:t>
      </w:r>
    </w:p>
    <w:p>
      <w:r>
        <w:br w:type="page"/>
      </w:r>
    </w:p>
    <w:p>
      <w:pPr>
        <w:pStyle w:val="Heading1"/>
        <w:spacing w:after="200" w:before="360"/>
      </w:pPr>
      <w:r>
        <w:rPr>
          <w:rFonts w:ascii="Arial" w:cs="Arial" w:eastAsia="Arial" w:hAnsi="Arial"/>
          <w:b/>
          <w:bCs/>
          <w:color w:val="2D3B2D"/>
          <w:sz w:val="32"/>
          <w:szCs w:val="32"/>
        </w:rPr>
        <w:t xml:space="preserve">Phase 15: UX Redesign — Target Diagram, Badges, First-Time Flow</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Implement the target diagram visualisation, V3 badge system (image cards), glossary page, and ungated first-time user flow.</w:t>
      </w:r>
    </w:p>
    <w:p>
      <w:pPr>
        <w:spacing w:after="120"/>
      </w:pPr>
      <w:r>
        <w:rPr>
          <w:rFonts w:ascii="Arial" w:cs="Arial" w:eastAsia="Arial" w:hAnsi="Arial"/>
          <w:color w:val="000000"/>
          <w:sz w:val="20"/>
          <w:szCs w:val="20"/>
        </w:rPr>
        <w:t xml:space="preserve"/>
      </w:r>
    </w:p>
    <w:p>
      <w:pPr>
        <w:pStyle w:val="Heading2"/>
        <w:spacing w:after="160" w:before="280"/>
      </w:pPr>
      <w:r>
        <w:rPr>
          <w:rFonts w:ascii="Arial" w:cs="Arial" w:eastAsia="Arial" w:hAnsi="Arial"/>
          <w:b/>
          <w:bCs/>
          <w:color w:val="4A5F4A"/>
          <w:sz w:val="26"/>
          <w:szCs w:val="26"/>
        </w:rPr>
        <w:t xml:space="preserve">Target Diagram</w:t>
      </w:r>
    </w:p>
    <w:p>
      <w:pPr>
        <w:spacing w:after="120"/>
      </w:pPr>
      <w:r>
        <w:rPr>
          <w:rFonts w:ascii="Arial" w:cs="Arial" w:eastAsia="Arial" w:hAnsi="Arial"/>
          <w:color w:val="000000"/>
          <w:sz w:val="20"/>
          <w:szCs w:val="20"/>
        </w:rPr>
        <w:t xml:space="preserve">A bullseye visualisation with Zeus (sage ideal) at the centre. 5 concentric rings representing proximity levels. 5 logo dots representing evaluation dimensions, positioned on their assessed ring. Grey ghost logos show all 5 positions as placeholders; full-colour logos appear at assessed positions.</w:t>
      </w:r>
    </w:p>
    <w:p>
      <w:pPr>
        <w:spacing w:after="120"/>
      </w:pPr>
      <w:r>
        <w:rPr>
          <w:rFonts w:ascii="Arial" w:cs="Arial" w:eastAsia="Arial" w:hAnsi="Arial"/>
          <w:color w:val="000000"/>
          <w:sz w:val="20"/>
          <w:szCs w:val="20"/>
        </w:rPr>
        <w:t xml:space="preserve"/>
      </w:r>
    </w:p>
    <w:p>
      <w:pPr>
        <w:pStyle w:val="Heading3"/>
        <w:spacing w:after="120" w:before="200"/>
      </w:pPr>
      <w:r>
        <w:rPr>
          <w:rFonts w:ascii="Arial" w:cs="Arial" w:eastAsia="Arial" w:hAnsi="Arial"/>
          <w:b/>
          <w:bCs/>
          <w:color w:val="5A7A5A"/>
          <w:sz w:val="22"/>
          <w:szCs w:val="22"/>
        </w:rPr>
        <w:t xml:space="preserve">5 Logo Dots (Evaluation Dimensions)</w:t>
      </w:r>
    </w:p>
    <w:p>
      <w:pPr>
        <w:pStyle w:val="ListParagraph"/>
        <w:numPr>
          <w:ilvl w:val="0"/>
          <w:numId w:val="2"/>
        </w:numPr>
        <w:spacing w:after="80"/>
      </w:pPr>
      <w:r>
        <w:rPr>
          <w:rFonts w:ascii="Arial" w:cs="Arial" w:eastAsia="Arial" w:hAnsi="Arial"/>
          <w:b/>
          <w:bCs/>
          <w:sz w:val="20"/>
          <w:szCs w:val="20"/>
        </w:rPr>
        <w:t xml:space="preserve">Owl — "Clear Sight":</w:t>
      </w:r>
      <w:r>
        <w:rPr>
          <w:rFonts w:ascii="Arial" w:cs="Arial" w:eastAsia="Arial" w:hAnsi="Arial"/>
          <w:sz w:val="20"/>
          <w:szCs w:val="20"/>
        </w:rPr>
        <w:t xml:space="preserve"> Control Filter. How well you separated what was in your control from what wasn’t.</w:t>
      </w:r>
    </w:p>
    <w:p>
      <w:pPr>
        <w:pStyle w:val="ListParagraph"/>
        <w:numPr>
          <w:ilvl w:val="0"/>
          <w:numId w:val="2"/>
        </w:numPr>
        <w:spacing w:after="80"/>
      </w:pPr>
      <w:r>
        <w:rPr>
          <w:rFonts w:ascii="Arial" w:cs="Arial" w:eastAsia="Arial" w:hAnsi="Arial"/>
          <w:b/>
          <w:bCs/>
          <w:sz w:val="20"/>
          <w:szCs w:val="20"/>
        </w:rPr>
        <w:t xml:space="preserve">Scales — "Right Fit":</w:t>
      </w:r>
      <w:r>
        <w:rPr>
          <w:rFonts w:ascii="Arial" w:cs="Arial" w:eastAsia="Arial" w:hAnsi="Arial"/>
          <w:sz w:val="20"/>
          <w:szCs w:val="20"/>
        </w:rPr>
        <w:t xml:space="preserve"> Appropriate Action. Was your action appropriate for your situation and relationships? 4 levels.</w:t>
      </w:r>
    </w:p>
    <w:p>
      <w:pPr>
        <w:pStyle w:val="ListParagraph"/>
        <w:numPr>
          <w:ilvl w:val="0"/>
          <w:numId w:val="2"/>
        </w:numPr>
        <w:spacing w:after="80"/>
      </w:pPr>
      <w:r>
        <w:rPr>
          <w:rFonts w:ascii="Arial" w:cs="Arial" w:eastAsia="Arial" w:hAnsi="Arial"/>
          <w:b/>
          <w:bCs/>
          <w:sz w:val="20"/>
          <w:szCs w:val="20"/>
        </w:rPr>
        <w:t xml:space="preserve">Lotus — "Clear Mind":</w:t>
      </w:r>
      <w:r>
        <w:rPr>
          <w:rFonts w:ascii="Arial" w:cs="Arial" w:eastAsia="Arial" w:hAnsi="Arial"/>
          <w:sz w:val="20"/>
          <w:szCs w:val="20"/>
        </w:rPr>
        <w:t xml:space="preserve"> Passions Identified. How many destructive passions distorted your thinking. Fewer = closer to centre.</w:t>
      </w:r>
    </w:p>
    <w:p>
      <w:pPr>
        <w:pStyle w:val="ListParagraph"/>
        <w:numPr>
          <w:ilvl w:val="0"/>
          <w:numId w:val="2"/>
        </w:numPr>
        <w:spacing w:after="80"/>
      </w:pPr>
      <w:r>
        <w:rPr>
          <w:rFonts w:ascii="Arial" w:cs="Arial" w:eastAsia="Arial" w:hAnsi="Arial"/>
          <w:b/>
          <w:bCs/>
          <w:sz w:val="20"/>
          <w:szCs w:val="20"/>
        </w:rPr>
        <w:t xml:space="preserve">Mirror (NEW) — "True Judgement":</w:t>
      </w:r>
      <w:r>
        <w:rPr>
          <w:rFonts w:ascii="Arial" w:cs="Arial" w:eastAsia="Arial" w:hAnsi="Arial"/>
          <w:sz w:val="20"/>
          <w:szCs w:val="20"/>
        </w:rPr>
        <w:t xml:space="preserve"> False Judgements. How many false beliefs were driving your action. Fewer = closer to centre.</w:t>
      </w:r>
    </w:p>
    <w:p>
      <w:pPr>
        <w:pStyle w:val="ListParagraph"/>
        <w:numPr>
          <w:ilvl w:val="0"/>
          <w:numId w:val="2"/>
        </w:numPr>
        <w:spacing w:after="80"/>
      </w:pPr>
      <w:r>
        <w:rPr>
          <w:rFonts w:ascii="Arial" w:cs="Arial" w:eastAsia="Arial" w:hAnsi="Arial"/>
          <w:b/>
          <w:bCs/>
          <w:sz w:val="20"/>
          <w:szCs w:val="20"/>
        </w:rPr>
        <w:t xml:space="preserve">Lion — "Steady Character":</w:t>
      </w:r>
      <w:r>
        <w:rPr>
          <w:rFonts w:ascii="Arial" w:cs="Arial" w:eastAsia="Arial" w:hAnsi="Arial"/>
          <w:sz w:val="20"/>
          <w:szCs w:val="20"/>
        </w:rPr>
        <w:t xml:space="preserve"> Ruling Faculty State. Whether your action came from a stable disposition or a temporary state.</w:t>
      </w:r>
    </w:p>
    <w:p>
      <w:pPr>
        <w:spacing w:after="120"/>
      </w:pPr>
      <w:r>
        <w:rPr>
          <w:rFonts w:ascii="Arial" w:cs="Arial" w:eastAsia="Arial" w:hAnsi="Arial"/>
          <w:color w:val="000000"/>
          <w:sz w:val="20"/>
          <w:szCs w:val="20"/>
        </w:rPr>
        <w:t xml:space="preserve"/>
      </w:r>
    </w:p>
    <w:p>
      <w:pPr>
        <w:pStyle w:val="Heading3"/>
        <w:spacing w:after="120" w:before="200"/>
      </w:pPr>
      <w:r>
        <w:rPr>
          <w:rFonts w:ascii="Arial" w:cs="Arial" w:eastAsia="Arial" w:hAnsi="Arial"/>
          <w:b/>
          <w:bCs/>
          <w:color w:val="5A7A5A"/>
          <w:sz w:val="22"/>
          <w:szCs w:val="22"/>
        </w:rPr>
        <w:t xml:space="preserve">5 Rings (Proximity Levels)</w:t>
      </w:r>
    </w:p>
    <w:p>
      <w:pPr>
        <w:pStyle w:val="ListParagraph"/>
        <w:numPr>
          <w:ilvl w:val="0"/>
          <w:numId w:val="2"/>
        </w:numPr>
        <w:spacing w:after="80"/>
      </w:pPr>
      <w:r>
        <w:rPr>
          <w:rFonts w:ascii="Arial" w:cs="Arial" w:eastAsia="Arial" w:hAnsi="Arial"/>
          <w:b/>
          <w:bCs/>
          <w:sz w:val="20"/>
          <w:szCs w:val="20"/>
        </w:rPr>
        <w:t xml:space="preserve">Ring 5 (outermost) — "The Storm" (Reflexive):</w:t>
      </w:r>
      <w:r>
        <w:rPr>
          <w:rFonts w:ascii="Arial" w:cs="Arial" w:eastAsia="Arial" w:hAnsi="Arial"/>
          <w:sz w:val="20"/>
          <w:szCs w:val="20"/>
        </w:rPr>
        <w:t xml:space="preserve"> Colour #4A5568 (slate grey). Stormy sea, dark clouds. Acting on pure impulse.</w:t>
      </w:r>
    </w:p>
    <w:p>
      <w:pPr>
        <w:pStyle w:val="ListParagraph"/>
        <w:numPr>
          <w:ilvl w:val="0"/>
          <w:numId w:val="2"/>
        </w:numPr>
        <w:spacing w:after="80"/>
      </w:pPr>
      <w:r>
        <w:rPr>
          <w:rFonts w:ascii="Arial" w:cs="Arial" w:eastAsia="Arial" w:hAnsi="Arial"/>
          <w:b/>
          <w:bCs/>
          <w:sz w:val="20"/>
          <w:szCs w:val="20"/>
        </w:rPr>
        <w:t xml:space="preserve">Ring 4 — "The Worn Path" (Habitual):</w:t>
      </w:r>
      <w:r>
        <w:rPr>
          <w:rFonts w:ascii="Arial" w:cs="Arial" w:eastAsia="Arial" w:hAnsi="Arial"/>
          <w:sz w:val="20"/>
          <w:szCs w:val="20"/>
        </w:rPr>
        <w:t xml:space="preserve"> Colour #8B6F47 (earth brown). Worn dirt path through forest. Following convention without understanding.</w:t>
      </w:r>
    </w:p>
    <w:p>
      <w:pPr>
        <w:pStyle w:val="ListParagraph"/>
        <w:numPr>
          <w:ilvl w:val="0"/>
          <w:numId w:val="2"/>
        </w:numPr>
        <w:spacing w:after="80"/>
      </w:pPr>
      <w:r>
        <w:rPr>
          <w:rFonts w:ascii="Arial" w:cs="Arial" w:eastAsia="Arial" w:hAnsi="Arial"/>
          <w:b/>
          <w:bCs/>
          <w:sz w:val="20"/>
          <w:szCs w:val="20"/>
        </w:rPr>
        <w:t xml:space="preserve">Ring 3 — "The Crossroads" (Deliberate):</w:t>
      </w:r>
      <w:r>
        <w:rPr>
          <w:rFonts w:ascii="Arial" w:cs="Arial" w:eastAsia="Arial" w:hAnsi="Arial"/>
          <w:sz w:val="20"/>
          <w:szCs w:val="20"/>
        </w:rPr>
        <w:t xml:space="preserve"> Colour #B2AC88 (warm sand). Figure at crossroads, sky breaking through clouds. Actively reasoning.</w:t>
      </w:r>
    </w:p>
    <w:p>
      <w:pPr>
        <w:pStyle w:val="ListParagraph"/>
        <w:numPr>
          <w:ilvl w:val="0"/>
          <w:numId w:val="2"/>
        </w:numPr>
        <w:spacing w:after="80"/>
      </w:pPr>
      <w:r>
        <w:rPr>
          <w:rFonts w:ascii="Arial" w:cs="Arial" w:eastAsia="Arial" w:hAnsi="Arial"/>
          <w:b/>
          <w:bCs/>
          <w:sz w:val="20"/>
          <w:szCs w:val="20"/>
        </w:rPr>
        <w:t xml:space="preserve">Ring 2 — "The Clear Summit" (Principled):</w:t>
      </w:r>
      <w:r>
        <w:rPr>
          <w:rFonts w:ascii="Arial" w:cs="Arial" w:eastAsia="Arial" w:hAnsi="Arial"/>
          <w:sz w:val="20"/>
          <w:szCs w:val="20"/>
        </w:rPr>
        <w:t xml:space="preserve"> Colour #5B8C6D (clear green). Mountain summit above cloud line. Stable commitment to virtue.</w:t>
      </w:r>
    </w:p>
    <w:p>
      <w:pPr>
        <w:pStyle w:val="ListParagraph"/>
        <w:numPr>
          <w:ilvl w:val="0"/>
          <w:numId w:val="2"/>
        </w:numPr>
        <w:spacing w:after="80"/>
      </w:pPr>
      <w:r>
        <w:rPr>
          <w:rFonts w:ascii="Arial" w:cs="Arial" w:eastAsia="Arial" w:hAnsi="Arial"/>
          <w:b/>
          <w:bCs/>
          <w:sz w:val="20"/>
          <w:szCs w:val="20"/>
        </w:rPr>
        <w:t xml:space="preserve">Ring 1 (innermost) — "The Inner Fire" (Sage-Like):</w:t>
      </w:r>
      <w:r>
        <w:rPr>
          <w:rFonts w:ascii="Arial" w:cs="Arial" w:eastAsia="Arial" w:hAnsi="Arial"/>
          <w:sz w:val="20"/>
          <w:szCs w:val="20"/>
        </w:rPr>
        <w:t xml:space="preserve"> Colour #C9A84C (steady gold). Calm flame. As close to the sage ideal as possible.</w:t>
      </w:r>
    </w:p>
    <w:p>
      <w:pPr>
        <w:spacing w:after="120"/>
      </w:pPr>
      <w:r>
        <w:rPr>
          <w:rFonts w:ascii="Arial" w:cs="Arial" w:eastAsia="Arial" w:hAnsi="Arial"/>
          <w:color w:val="000000"/>
          <w:sz w:val="20"/>
          <w:szCs w:val="20"/>
        </w:rPr>
        <w:t xml:space="preserve"/>
      </w:r>
    </w:p>
    <w:p>
      <w:pPr>
        <w:pStyle w:val="Heading3"/>
        <w:spacing w:after="120" w:before="200"/>
      </w:pPr>
      <w:r>
        <w:rPr>
          <w:rFonts w:ascii="Arial" w:cs="Arial" w:eastAsia="Arial" w:hAnsi="Arial"/>
          <w:b/>
          <w:bCs/>
          <w:color w:val="5A7A5A"/>
          <w:sz w:val="22"/>
          <w:szCs w:val="22"/>
        </w:rPr>
        <w:t xml:space="preserve">Designer Brief: New Assets Required</w:t>
      </w:r>
    </w:p>
    <w:p>
      <w:pPr>
        <w:pStyle w:val="ListParagraph"/>
        <w:numPr>
          <w:ilvl w:val="0"/>
          <w:numId w:val="2"/>
        </w:numPr>
        <w:spacing w:after="80"/>
      </w:pPr>
      <w:r>
        <w:rPr>
          <w:rFonts w:ascii="Arial" w:cs="Arial" w:eastAsia="Arial" w:hAnsi="Arial"/>
          <w:b/>
          <w:bCs/>
          <w:sz w:val="20"/>
          <w:szCs w:val="20"/>
        </w:rPr>
        <w:t xml:space="preserve">Mirror logo:</w:t>
      </w:r>
      <w:r>
        <w:rPr>
          <w:rFonts w:ascii="Arial" w:cs="Arial" w:eastAsia="Arial" w:hAnsi="Arial"/>
          <w:sz w:val="20"/>
          <w:szCs w:val="20"/>
        </w:rPr>
        <w:t xml:space="preserve"> New logo representing "True Judgement" (honest self-reflection). Style consistent with existing owl/scales/lion/lotus set.</w:t>
      </w:r>
    </w:p>
    <w:p>
      <w:pPr>
        <w:pStyle w:val="ListParagraph"/>
        <w:numPr>
          <w:ilvl w:val="0"/>
          <w:numId w:val="2"/>
        </w:numPr>
        <w:spacing w:after="80"/>
      </w:pPr>
      <w:r>
        <w:rPr>
          <w:rFonts w:ascii="Arial" w:cs="Arial" w:eastAsia="Arial" w:hAnsi="Arial"/>
          <w:b/>
          <w:bCs/>
          <w:sz w:val="20"/>
          <w:szCs w:val="20"/>
        </w:rPr>
        <w:t xml:space="preserve">5 ring images:</w:t>
      </w:r>
      <w:r>
        <w:rPr>
          <w:rFonts w:ascii="Arial" w:cs="Arial" w:eastAsia="Arial" w:hAnsi="Arial"/>
          <w:sz w:val="20"/>
          <w:szCs w:val="20"/>
        </w:rPr>
        <w:t xml:space="preserve"> Storm, Worn Path, Crossroads, Clear Summit, Inner Fire. Used as dashboard image cards themed by ring colour. No logos on cards.</w:t>
      </w:r>
    </w:p>
    <w:p>
      <w:pPr>
        <w:pStyle w:val="ListParagraph"/>
        <w:numPr>
          <w:ilvl w:val="0"/>
          <w:numId w:val="2"/>
        </w:numPr>
        <w:spacing w:after="80"/>
      </w:pPr>
      <w:r>
        <w:rPr>
          <w:rFonts w:ascii="Arial" w:cs="Arial" w:eastAsia="Arial" w:hAnsi="Arial"/>
          <w:b/>
          <w:bCs/>
          <w:sz w:val="20"/>
          <w:szCs w:val="20"/>
        </w:rPr>
        <w:t xml:space="preserve">Target diagram component:</w:t>
      </w:r>
      <w:r>
        <w:rPr>
          <w:rFonts w:ascii="Arial" w:cs="Arial" w:eastAsia="Arial" w:hAnsi="Arial"/>
          <w:sz w:val="20"/>
          <w:szCs w:val="20"/>
        </w:rPr>
        <w:t xml:space="preserve"> Interactive SVG/Canvas. Zeus at centre. 5 rings with colour gradient. 5 logo dots that animate between positions on refine-and-resubmit. Grey ghost logos as placeholders. Logos must be large enough to see detail.</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Commission mirror logo design and 5 ring illustration cards from designer</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Mirror logo matches existing set style. 5 ring cards use specified colours. Cards suitable for dashboard display.</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target diagram React component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R8c</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Interactive SVG. Zeus centre. 5 rings. 5 logo dots. Grey ghosts. Animation on position change. All labels in English only (R8c). Mobile responsive.</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V3 scoring composite: map 5 evaluation outputs to 5 dot positions on target rings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R6c</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Each dot position derived from V3 evaluation output. Mapping rules documented. Justified by V3 data (R6c).</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refine-and-resubmit overlay: second target overlaid on first showing dot movement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Before/after dots visible simultaneously. Movement direction clear at a glance.</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image card dashboard component: ring-themed cards displayed as achievements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Cards earned when all 5 dots reach a threshold ring. Cards use ring colour theme. Displayed on user dashboard.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Glossary page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R8c</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All 67 glossary terms with English definition and Greek/technical term. Linked from site navigation or footer. Subtle placement. Not prominent in main user flow.</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P15.7</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Implement ungated first-time user flow: Homepage → "Score and Refine an Action" → Form → Target + result → Refine → Refined target + sign-up CTA</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No account required for first score. Sign-up prompt appears after refined result. CTA: "Save your progress and keep going." Rate-limited per P13.5.</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P15.8</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Rename primary CTA button from "Score an Action" to "Score and Refine an Action" on homepage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Button text communicates the full experience. Updated across homepage and any navigation references.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P15.9</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Convert all user-facing pages to English-only terminology per R8c</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R8c</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Audit all pages: score, journal, baseline, dashboard, scenarios, document scorer, policy, social. Replace Greek-primary labels with English equivalents. Verify against Glossary page for consistency.</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Phases 3–7 complete (tools exist). Phase 12 complete (scoring composite uses deterministic tools).</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High. User-facing changes across all pages. Design assets required from external designer.</w:t>
      </w:r>
    </w:p>
    <w:p>
      <w:r>
        <w:br w:type="page"/>
      </w:r>
    </w:p>
    <w:p>
      <w:pPr>
        <w:pStyle w:val="Heading1"/>
        <w:spacing w:after="200" w:before="360"/>
      </w:pPr>
      <w:r>
        <w:rPr>
          <w:rFonts w:ascii="Arial" w:cs="Arial" w:eastAsia="Arial" w:hAnsi="Arial"/>
          <w:b/>
          <w:bCs/>
          <w:color w:val="2D3B2D"/>
          <w:sz w:val="32"/>
          <w:szCs w:val="32"/>
        </w:rPr>
        <w:t xml:space="preserve">Phase 16: Skill Contracts and Agent Discovery Layer</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Define the SageReasoning Skill Contract format and create contracts for all skills. Enable AI agents to discover, evaluate, and chain SageReasoning skills autonomously.</w:t>
      </w:r>
    </w:p>
    <w:p>
      <w:pPr>
        <w:spacing w:after="120"/>
      </w:pPr>
      <w:r>
        <w:rPr>
          <w:rFonts w:ascii="Arial" w:cs="Arial" w:eastAsia="Arial" w:hAnsi="Arial"/>
          <w:color w:val="000000"/>
          <w:sz w:val="20"/>
          <w:szCs w:val="20"/>
        </w:rPr>
        <w:t xml:space="preserve"/>
      </w:r>
    </w:p>
    <w:p>
      <w:pPr>
        <w:pStyle w:val="Heading2"/>
        <w:spacing w:after="160" w:before="280"/>
      </w:pPr>
      <w:r>
        <w:rPr>
          <w:rFonts w:ascii="Arial" w:cs="Arial" w:eastAsia="Arial" w:hAnsi="Arial"/>
          <w:b/>
          <w:bCs/>
          <w:color w:val="4A5F4A"/>
          <w:sz w:val="26"/>
          <w:szCs w:val="26"/>
        </w:rPr>
        <w:t xml:space="preserve">Skill Contract Format (6 Sections)</w:t>
      </w:r>
    </w:p>
    <w:p>
      <w:pPr>
        <w:spacing w:after="120"/>
      </w:pPr>
      <w:r>
        <w:rPr>
          <w:rFonts w:ascii="Arial" w:cs="Arial" w:eastAsia="Arial" w:hAnsi="Arial"/>
          <w:color w:val="000000"/>
          <w:sz w:val="20"/>
          <w:szCs w:val="20"/>
        </w:rPr>
        <w:t xml:space="preserve">Derived from V3’s Stoic causal sequence (psychology.json): Impression → Assent → Impulse → Action. The contract mirrors this structure.</w:t>
      </w:r>
    </w:p>
    <w:p>
      <w:pPr>
        <w:pStyle w:val="ListParagraph"/>
        <w:numPr>
          <w:ilvl w:val="0"/>
          <w:numId w:val="2"/>
        </w:numPr>
        <w:spacing w:after="80"/>
      </w:pPr>
      <w:r>
        <w:rPr>
          <w:rFonts w:ascii="Arial" w:cs="Arial" w:eastAsia="Arial" w:hAnsi="Arial"/>
          <w:b/>
          <w:bCs/>
          <w:sz w:val="20"/>
          <w:szCs w:val="20"/>
        </w:rPr>
        <w:t xml:space="preserve">Receives:</w:t>
      </w:r>
      <w:r>
        <w:rPr>
          <w:rFonts w:ascii="Arial" w:cs="Arial" w:eastAsia="Arial" w:hAnsi="Arial"/>
          <w:sz w:val="20"/>
          <w:szCs w:val="20"/>
        </w:rPr>
        <w:t xml:space="preserve"> What input the skill accepts, with exact schema. The "impression" it works from.</w:t>
      </w:r>
    </w:p>
    <w:p>
      <w:pPr>
        <w:pStyle w:val="ListParagraph"/>
        <w:numPr>
          <w:ilvl w:val="0"/>
          <w:numId w:val="2"/>
        </w:numPr>
        <w:spacing w:after="80"/>
      </w:pPr>
      <w:r>
        <w:rPr>
          <w:rFonts w:ascii="Arial" w:cs="Arial" w:eastAsia="Arial" w:hAnsi="Arial"/>
          <w:b/>
          <w:bCs/>
          <w:sz w:val="20"/>
          <w:szCs w:val="20"/>
        </w:rPr>
        <w:t xml:space="preserve">Evaluates:</w:t>
      </w:r>
      <w:r>
        <w:rPr>
          <w:rFonts w:ascii="Arial" w:cs="Arial" w:eastAsia="Arial" w:hAnsi="Arial"/>
          <w:sz w:val="20"/>
          <w:szCs w:val="20"/>
        </w:rPr>
        <w:t xml:space="preserve"> What the skill does with the input. Plain description of the operation, not the internal logic (R4).</w:t>
      </w:r>
    </w:p>
    <w:p>
      <w:pPr>
        <w:pStyle w:val="ListParagraph"/>
        <w:numPr>
          <w:ilvl w:val="0"/>
          <w:numId w:val="2"/>
        </w:numPr>
        <w:spacing w:after="80"/>
      </w:pPr>
      <w:r>
        <w:rPr>
          <w:rFonts w:ascii="Arial" w:cs="Arial" w:eastAsia="Arial" w:hAnsi="Arial"/>
          <w:b/>
          <w:bCs/>
          <w:sz w:val="20"/>
          <w:szCs w:val="20"/>
        </w:rPr>
        <w:t xml:space="preserve">Returns:</w:t>
      </w:r>
      <w:r>
        <w:rPr>
          <w:rFonts w:ascii="Arial" w:cs="Arial" w:eastAsia="Arial" w:hAnsi="Arial"/>
          <w:sz w:val="20"/>
          <w:szCs w:val="20"/>
        </w:rPr>
        <w:t xml:space="preserve"> The exact output schema. The handoff package for the next step. Typed JSON.</w:t>
      </w:r>
    </w:p>
    <w:p>
      <w:pPr>
        <w:pStyle w:val="ListParagraph"/>
        <w:numPr>
          <w:ilvl w:val="0"/>
          <w:numId w:val="2"/>
        </w:numPr>
        <w:spacing w:after="80"/>
      </w:pPr>
      <w:r>
        <w:rPr>
          <w:rFonts w:ascii="Arial" w:cs="Arial" w:eastAsia="Arial" w:hAnsi="Arial"/>
          <w:b/>
          <w:bCs/>
          <w:sz w:val="20"/>
          <w:szCs w:val="20"/>
        </w:rPr>
        <w:t xml:space="preserve">Does Not:</w:t>
      </w:r>
      <w:r>
        <w:rPr>
          <w:rFonts w:ascii="Arial" w:cs="Arial" w:eastAsia="Arial" w:hAnsi="Arial"/>
          <w:sz w:val="20"/>
          <w:szCs w:val="20"/>
        </w:rPr>
        <w:t xml:space="preserve"> Explicit boundaries. What the skill will never do, never return, never claim. The control filter.</w:t>
      </w:r>
    </w:p>
    <w:p>
      <w:pPr>
        <w:pStyle w:val="ListParagraph"/>
        <w:numPr>
          <w:ilvl w:val="0"/>
          <w:numId w:val="2"/>
        </w:numPr>
        <w:spacing w:after="80"/>
      </w:pPr>
      <w:r>
        <w:rPr>
          <w:rFonts w:ascii="Arial" w:cs="Arial" w:eastAsia="Arial" w:hAnsi="Arial"/>
          <w:b/>
          <w:bCs/>
          <w:sz w:val="20"/>
          <w:szCs w:val="20"/>
        </w:rPr>
        <w:t xml:space="preserve">Chains To:</w:t>
      </w:r>
      <w:r>
        <w:rPr>
          <w:rFonts w:ascii="Arial" w:cs="Arial" w:eastAsia="Arial" w:hAnsi="Arial"/>
          <w:sz w:val="20"/>
          <w:szCs w:val="20"/>
        </w:rPr>
        <w:t xml:space="preserve"> Which SageReasoning skills naturally follow this one. Routing signal for agents building multi-step chains.</w:t>
      </w:r>
    </w:p>
    <w:p>
      <w:pPr>
        <w:pStyle w:val="ListParagraph"/>
        <w:numPr>
          <w:ilvl w:val="0"/>
          <w:numId w:val="2"/>
        </w:numPr>
        <w:spacing w:after="80"/>
      </w:pPr>
      <w:r>
        <w:rPr>
          <w:rFonts w:ascii="Arial" w:cs="Arial" w:eastAsia="Arial" w:hAnsi="Arial"/>
          <w:b/>
          <w:bCs/>
          <w:sz w:val="20"/>
          <w:szCs w:val="20"/>
        </w:rPr>
        <w:t xml:space="preserve">Reports:</w:t>
      </w:r>
      <w:r>
        <w:rPr>
          <w:rFonts w:ascii="Arial" w:cs="Arial" w:eastAsia="Arial" w:hAnsi="Arial"/>
          <w:sz w:val="20"/>
          <w:szCs w:val="20"/>
        </w:rPr>
        <w:t xml:space="preserve"> What information flows to the developer via the gateway.</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Define the SageReasoning Skill Contract JSON schema</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 R8d</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Schema covers all 6 sections. Input/output schemas use JSON Schema. Plain English descriptions (R8d). Internal logic not exposed (R4).</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Write skill contracts for all 6 deterministic tools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 R8d</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One contract per tool: Control Classifier, Indifferents Ranker, Passions Taxonomy Classifier, Oikeiosis Stage Mapper, Deliberation Sequencer, Progress Calculator.</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Write skill contracts for all LLM-powered tools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 R5, R8d</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Contracts for: Action Evaluator, Passions Interpreter, Document Analyser, Agent Assessment Evaluator. Free-tier contracts show limited Returns (R5).</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Write skill contracts for all 8 scripted workflows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 R5, R8d</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Each script gets a contract. Contracts describe the complete workflow outcome, not individual steps. Chains To points to other scripts where relevant.</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skill discovery endpoint: GET /api/v3/skills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Returns all available skill contracts. Filterable by input type, output type, and capability. Agents can browse the full catalogue.</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Ensure all skill output schemas are chain-ready: typed, predictable, and consumable by downstream tools without transformation</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Every Returns schema validated as input-compatible with at least one other skill’s Receives schema. Chain compatibility matrix documented.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P16.7</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Write developer onboarding guide explaining V3 concepts for developers who don’t know Stoic philosophy</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English-first with bracketed Greek (R8b). Covers: what the 4-stage evaluation does, why passions matter for AI, how oikeiosis applies to stakeholder analysis, how the 5-layer architecture works. Practical examples.</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Phases 12 and 14 complete.</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High. Contract format is a new standard. Must be correct on first release as agents will depend on schema stability.</w:t>
      </w:r>
    </w:p>
    <w:p>
      <w:r>
        <w:br w:type="page"/>
      </w:r>
    </w:p>
    <w:p>
      <w:pPr>
        <w:pStyle w:val="Heading1"/>
        <w:spacing w:after="200" w:before="360"/>
      </w:pPr>
      <w:r>
        <w:rPr>
          <w:rFonts w:ascii="Arial" w:cs="Arial" w:eastAsia="Arial" w:hAnsi="Arial"/>
          <w:b/>
          <w:bCs/>
          <w:color w:val="2D3B2D"/>
          <w:sz w:val="32"/>
          <w:szCs w:val="32"/>
        </w:rPr>
        <w:t xml:space="preserve">Phase 17: Developer Gateway and Observability</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Build the reporting layer that gives developers visibility into how their AI agents use SageReasoning. This is the developer’s "aha moment" and the primary conversion driver for paid tier.</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P17.1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gateway reporting endpoint: POST /api/v3/gateway/report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R4</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Agents call this to send evaluation summaries to their developer. Accepts: agent_id, developer_id, skill_used, input summary (not full input — R4), output summary, timestamp.</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P17.2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developer dashboard: aggregated view of agent SageReasoning usage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Shows: evaluation count, proximity level distribution, most common passions detected, passion trends over time, Senecan grade distribution across agents.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P17.3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webhook delivery for gateway reports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Developers can register a webhook URL. Gateway sends evaluation summaries in real-time. JSON payload matches skill contract Returns schema.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P17.4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Build gateway-to-conversion flow: when agent usage exceeds free-tier limits, developer receives upgrade prompt with usage data showing value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Free-tier gateway shows limited data. Paid-tier shows full diagnostic detail. Upgrade prompt includes: "Your agent ran N evaluations this month. Upgrade to see the full diagnostic on each one."</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P17.5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Implement agent-specific rate limiting and guardrails distinct from human rate limiting</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Agent rate limits based on API key tier. Human rate limits based on IP. Agent runaway use prevented by per-key throttling. Human first-time use remains ungated (per P13.5).</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Phase 16 complete.</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Medium. New infrastructure. Webhook reliability important for developer trust.</w:t>
      </w:r>
    </w:p>
    <w:p>
      <w:r>
        <w:br w:type="page"/>
      </w:r>
    </w:p>
    <w:p>
      <w:pPr>
        <w:pStyle w:val="Heading1"/>
        <w:spacing w:after="200" w:before="360"/>
      </w:pPr>
      <w:r>
        <w:rPr>
          <w:rFonts w:ascii="Arial" w:cs="Arial" w:eastAsia="Arial" w:hAnsi="Arial"/>
          <w:b/>
          <w:bCs/>
          <w:color w:val="2D3B2D"/>
          <w:sz w:val="32"/>
          <w:szCs w:val="32"/>
        </w:rPr>
        <w:t xml:space="preserve">Phase 18: Developer Application Documentation and Examples</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Document and provide integration examples for all 8 identified developer applications. Ensure developer-facing content communicates the opportunities V3 opens up in a format developers expect.</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1: AI Agent Ethical Guardrail — pre-action evaluation with nuanced go/no-go based on 4-stage sequence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with code examples. Shows: how to call the skill, how to interpret the structured output, how to set thresholds per stage. English-first with bracketed Greek (R8b).</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2: AI Agent Self-Assessment and Calibration — ongoing reasoning quality tracking across versions and contexts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showing: initial assessment, periodic recalibration, version comparison, deployment-context comparison.</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3: Content Moderation and Analysis — passion-based classification of toxic content with named false judgements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 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Framed as philosophical analysis, not psychological profiling (R1).</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4: Decision Support Systems — structured deliberation pipeline with stakeholder mapping</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showing: Cicero framework, oikeiosis mapping, passion risk analysis in a business decision context.</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5: Educational Technology — embedding journal curriculum and progress tracking in external platforms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 R4, 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Curriculum structure described (not exposed — R4). Framed as philosophical education (R1).</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6: Causal Sequence as Reasoning Chain — Impression → Assent → Impulse → Action as cognitive architecture for any LLM agent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showing: how to implement the 4-step chain as a pre-action reasoning pattern. Reduces hallucination and impulsive outputs.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P18.7</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7: Value Alignment Benchmarking — using V3 value hierarchy as a standardised AI ethics benchmark</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showing: test scenario design, scoring against V3 value.json, deviation measurement.</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P18.8</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Document Application 8: Philosophical Self-Knowledge Tools — passion pattern analysis for personal development apps</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 R8b</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Integration guide. Strictly framed as philosophical practice, not therapy (R1).</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Phases 16 and 17 complete.</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Low. Documentation task. No code changes.</w:t>
      </w:r>
    </w:p>
    <w:p>
      <w:r>
        <w:br w:type="page"/>
      </w:r>
    </w:p>
    <w:p>
      <w:pPr>
        <w:pStyle w:val="Heading1"/>
        <w:spacing w:after="200" w:before="360"/>
      </w:pPr>
      <w:r>
        <w:rPr>
          <w:rFonts w:ascii="Arial" w:cs="Arial" w:eastAsia="Arial" w:hAnsi="Arial"/>
          <w:b/>
          <w:bCs/>
          <w:color w:val="2D3B2D"/>
          <w:sz w:val="32"/>
          <w:szCs w:val="32"/>
        </w:rPr>
        <w:t xml:space="preserve">Phase 19: Extended Verification and Compliance Audit</w:t>
      </w:r>
    </w:p>
    <w:p>
      <w:pPr>
        <w:spacing w:after="120"/>
      </w:pPr>
      <w:r>
        <w:rPr>
          <w:rFonts w:ascii="Arial" w:cs="Arial" w:eastAsia="Arial" w:hAnsi="Arial"/>
          <w:b/>
          <w:bCs/>
          <w:sz w:val="20"/>
          <w:szCs w:val="20"/>
        </w:rPr>
        <w:t xml:space="preserve">Objective: </w:t>
      </w:r>
      <w:r>
        <w:rPr>
          <w:rFonts w:ascii="Arial" w:cs="Arial" w:eastAsia="Arial" w:hAnsi="Arial"/>
          <w:sz w:val="20"/>
          <w:szCs w:val="20"/>
        </w:rPr>
        <w:t xml:space="preserve">End-to-end testing of the full 5-layer architecture. Verify all new phases comply with manifest rules. Update all project documentation.</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900"/>
        <w:gridCol w:w="3960"/>
      </w:tblGrid>
      <w:tr>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ID</w:t>
            </w:r>
          </w:p>
        </w:tc>
        <w:tc>
          <w:tcPr>
            <w:tcW w:type="dxa" w:w="36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w:t>
            </w:r>
          </w:p>
        </w:tc>
        <w:tc>
          <w:tcPr>
            <w:tcW w:type="dxa" w:w="9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Rules</w:t>
            </w:r>
          </w:p>
        </w:tc>
        <w:tc>
          <w:tcPr>
            <w:tcW w:type="dxa" w:w="39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Acceptance Criteria</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P19.1</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Test deterministic tool accuracy against source material: every classification verified against the original Stoic source citation</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R7</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Every taxonomy entry tested. Every ranking order verified against source text. Discrepancies flagged and resolved.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P19.2</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Test script integration end-to-end: all 8 scripts run with real inputs, outputs validated</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Each script produces correct target diagram output. Refine loops work. Progress tracking updates correctly across scripts.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P19.3</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Test skill contract chain compatibility: every Chains To pointer verified as input-compatible with the target skill</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Chain compatibility matrix 100% tested. No broken handoffs.</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P19.4</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Test developer gateway end-to-end: agent runs evaluation, gateway delivers report to developer dashboard and webhook</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Full pipeline verified: agent discovery → skill execution → gateway report → developer dashboard update → webhook delivery.</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P19.5</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 compliance audit across all layers: data files (R8a), developer docs (R8b), user-facing content (R8c), skill contracts (R8d)</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R8</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Every surface audited against the correct R8 sub-rule. No user-facing pages contain Greek-primary terminology. No skill contracts expose internal logic.</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P19.6</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Cost analysis: document LLM cost per script, cost per user session, projected revenue-to-cost ratio at each tier</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R5</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Spreadsheet showing: cost per evaluation before/after deterministic optimisation. Revenue model updated. R5 2x threshold confirmed.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P19.7</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Update V3_Adoption_Scope.md to incorporate Phases 12–19 into the master document</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Single scope document covering all 19 phases. Summary table updated. Rule coverage matrix updated.</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P19.8</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Update AGENTS.md, README.md, STATUS-REVENUE-MODEL.md to reflect 5-layer architecture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All documentation current. AGENTS.md describes skill contracts and discovery. README reflects V3 exclusively.</w:t>
            </w:r>
          </w:p>
        </w:tc>
      </w:tr>
      <w:tr>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b/>
                <w:bCs/>
                <w:sz w:val="18"/>
                <w:szCs w:val="18"/>
              </w:rPr>
              <w:t xml:space="preserve">P19.9</w:t>
            </w:r>
          </w:p>
        </w:tc>
        <w:tc>
          <w:tcPr>
            <w:tcW w:type="dxa" w:w="36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Full manifest compliance audit of Phases 12–19 (R1–R9 gate)</w:t>
            </w:r>
          </w:p>
        </w:tc>
        <w:tc>
          <w:tcPr>
            <w:tcW w:type="dxa" w:w="9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R1–R9</w:t>
            </w:r>
          </w:p>
        </w:tc>
        <w:tc>
          <w:tcPr>
            <w:tcW w:type="dxa" w:w="39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Systematic check of every rule against every new deliverable. Checklist format. Final gate before launch.</w:t>
            </w:r>
          </w:p>
        </w:tc>
      </w:tr>
    </w:tbl>
    <w:p>
      <w:pPr>
        <w:spacing w:after="120"/>
      </w:pPr>
      <w:r>
        <w:rPr>
          <w:rFonts w:ascii="Arial" w:cs="Arial" w:eastAsia="Arial" w:hAnsi="Arial"/>
          <w:b/>
          <w:bCs/>
          <w:sz w:val="20"/>
          <w:szCs w:val="20"/>
        </w:rPr>
        <w:t xml:space="preserve">Dependencies: </w:t>
      </w:r>
      <w:r>
        <w:rPr>
          <w:rFonts w:ascii="Arial" w:cs="Arial" w:eastAsia="Arial" w:hAnsi="Arial"/>
          <w:sz w:val="20"/>
          <w:szCs w:val="20"/>
        </w:rPr>
        <w:t xml:space="preserve">All prior phases complete.</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Low. Verification and cleanup.</w:t>
      </w:r>
    </w:p>
    <w:p>
      <w:r>
        <w:br w:type="page"/>
      </w:r>
    </w:p>
    <w:p>
      <w:pPr>
        <w:pStyle w:val="Heading1"/>
        <w:spacing w:after="200" w:before="360"/>
      </w:pPr>
      <w:r>
        <w:rPr>
          <w:rFonts w:ascii="Arial" w:cs="Arial" w:eastAsia="Arial" w:hAnsi="Arial"/>
          <w:b/>
          <w:bCs/>
          <w:color w:val="2D3B2D"/>
          <w:sz w:val="32"/>
          <w:szCs w:val="32"/>
        </w:rPr>
        <w:t xml:space="preserve">Updated Summary (Phases 1–19)</w:t>
      </w:r>
    </w:p>
    <w:p>
      <w:pPr>
        <w:spacing w:after="120"/>
      </w:pPr>
      <w:r>
        <w:rPr>
          <w:rFonts w:ascii="Arial" w:cs="Arial" w:eastAsia="Arial" w:hAnsi="Arial"/>
          <w:color w:val="000000"/>
          <w:sz w:val="20"/>
          <w:szCs w:val="20"/>
        </w:rPr>
        <w:t xml:space="preserve">Original scope: 11 phases, 63 tasks. This addendum adds 8 phases, 65 tasks. Total: 19 phases, 128 tasks.</w:t>
      </w:r>
    </w:p>
    <w:p>
      <w:pPr>
        <w:spacing w:after="120"/>
      </w:pPr>
      <w:r>
        <w:rPr>
          <w:rFonts w:ascii="Arial" w:cs="Arial" w:eastAsia="Arial" w:hAnsi="Arial"/>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000"/>
        <w:gridCol w:w="4760"/>
      </w:tblGrid>
      <w:tr>
        <w:tc>
          <w:tcPr>
            <w:tcW w:type="dxa" w:w="28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Phase</w:t>
            </w:r>
          </w:p>
        </w:tc>
        <w:tc>
          <w:tcPr>
            <w:tcW w:type="dxa" w:w="8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Tasks</w:t>
            </w:r>
          </w:p>
        </w:tc>
        <w:tc>
          <w:tcPr>
            <w:tcW w:type="dxa" w:w="10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Risk</w:t>
            </w:r>
          </w:p>
        </w:tc>
        <w:tc>
          <w:tcPr>
            <w:tcW w:type="dxa" w:w="47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Key Deliverable</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P1: Retire V1</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6</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V3 files at root</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P2: Core Library</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5</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stoic-brain.ts from V3</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P3: Action Score</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7</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High</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Flagship tool</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P4: Journal</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6</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V3 journal curriculum</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P5: Document Score</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Medium</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Content scoring tools</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P6: Scenarios</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4</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Ethical scenarios</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P7: Baseline + Progress</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7</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High</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Multi-dimensional tracking</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P8: Agent Assessment</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High</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Agent framework</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P9: Agent Library</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2</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Agent TypeScript</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P10: API</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4</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High</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API specification</w:t>
            </w:r>
          </w:p>
        </w:tc>
      </w:tr>
      <w:tr>
        <w:tc>
          <w:tcPr>
            <w:tcW w:type="dxa" w:w="2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P11: Verification</w:t>
            </w:r>
          </w:p>
        </w:tc>
        <w:tc>
          <w:tcPr>
            <w:tcW w:type="dxa" w:w="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6</w:t>
            </w:r>
          </w:p>
        </w:tc>
        <w:tc>
          <w:tcPr>
            <w:tcW w:type="dxa" w:w="10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8"/>
                <w:szCs w:val="18"/>
              </w:rPr>
              <w:t xml:space="preserve">Full audit (R1–R9)</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P12: Deterministic Tools</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6 rule-based tools + tests</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P13: Cost Optimisation</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6</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Medium</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Reduced LLM dependency</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P14: Scripted Workflows</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9</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Medium</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8 chained workflows + tests</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P15: UX Redesign</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9</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High</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Target diagram, badges, flow</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P16: Skill Contracts</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7</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High</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Agent discovery layer</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P17: Developer Gateway</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5</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Medium</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Observability + conversion</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P18: Dev Applications</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8</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8 integration guides</w:t>
            </w:r>
          </w:p>
        </w:tc>
      </w:tr>
      <w:tr>
        <w:tc>
          <w:tcPr>
            <w:tcW w:type="dxa" w:w="2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P19: Ext. Verification</w:t>
            </w:r>
          </w:p>
        </w:tc>
        <w:tc>
          <w:tcPr>
            <w:tcW w:type="dxa" w:w="8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9</w:t>
            </w:r>
          </w:p>
        </w:tc>
        <w:tc>
          <w:tcPr>
            <w:tcW w:type="dxa" w:w="100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Low</w:t>
            </w:r>
          </w:p>
        </w:tc>
        <w:tc>
          <w:tcPr>
            <w:tcW w:type="dxa" w:w="4760"/>
            <w:tcBorders>
              <w:top w:val="single" w:color="C5D4B5" w:sz="1"/>
              <w:left w:val="single" w:color="C5D4B5" w:sz="1"/>
              <w:bottom w:val="single" w:color="C5D4B5" w:sz="1"/>
              <w:right w:val="single" w:color="C5D4B5" w:sz="1"/>
            </w:tcBorders>
            <w:shd w:fill="F4F7F0" w:val="clear"/>
            <w:tcMar>
              <w:top w:type="dxa" w:w="60"/>
              <w:left w:type="dxa" w:w="100"/>
              <w:bottom w:type="dxa" w:w="60"/>
              <w:right w:type="dxa" w:w="100"/>
            </w:tcMar>
          </w:tcPr>
          <w:p>
            <w:r>
              <w:rPr>
                <w:rFonts w:ascii="Arial" w:cs="Arial" w:eastAsia="Arial" w:hAnsi="Arial"/>
                <w:sz w:val="18"/>
                <w:szCs w:val="18"/>
              </w:rPr>
              <w:t xml:space="preserve">Full 5-layer audit</w:t>
            </w:r>
          </w:p>
        </w:tc>
      </w:tr>
      <w:tr>
        <w:tc>
          <w:tcPr>
            <w:tcW w:type="dxa" w:w="2800"/>
            <w:tcBorders>
              <w:top w:val="single" w:color="C5D4B5" w:sz="1"/>
              <w:left w:val="single" w:color="C5D4B5" w:sz="1"/>
              <w:bottom w:val="single" w:color="C5D4B5" w:sz="1"/>
              <w:right w:val="single" w:color="C5D4B5" w:sz="1"/>
            </w:tcBorders>
            <w:shd w:fill="C5D4B5" w:val="clear"/>
            <w:tcMar>
              <w:top w:type="dxa" w:w="60"/>
              <w:left w:type="dxa" w:w="100"/>
              <w:bottom w:type="dxa" w:w="60"/>
              <w:right w:type="dxa" w:w="100"/>
            </w:tcMar>
          </w:tcPr>
          <w:p>
            <w:r>
              <w:rPr>
                <w:rFonts w:ascii="Arial" w:cs="Arial" w:eastAsia="Arial" w:hAnsi="Arial"/>
                <w:b/>
                <w:bCs/>
                <w:sz w:val="18"/>
                <w:szCs w:val="18"/>
              </w:rPr>
              <w:t xml:space="preserve">Total</w:t>
            </w:r>
          </w:p>
        </w:tc>
        <w:tc>
          <w:tcPr>
            <w:tcW w:type="dxa" w:w="800"/>
            <w:tcBorders>
              <w:top w:val="single" w:color="C5D4B5" w:sz="1"/>
              <w:left w:val="single" w:color="C5D4B5" w:sz="1"/>
              <w:bottom w:val="single" w:color="C5D4B5" w:sz="1"/>
              <w:right w:val="single" w:color="C5D4B5" w:sz="1"/>
            </w:tcBorders>
            <w:shd w:fill="C5D4B5" w:val="clear"/>
            <w:tcMar>
              <w:top w:type="dxa" w:w="60"/>
              <w:left w:type="dxa" w:w="100"/>
              <w:bottom w:type="dxa" w:w="60"/>
              <w:right w:type="dxa" w:w="100"/>
            </w:tcMar>
          </w:tcPr>
          <w:p>
            <w:r>
              <w:rPr>
                <w:rFonts w:ascii="Arial" w:cs="Arial" w:eastAsia="Arial" w:hAnsi="Arial"/>
                <w:b/>
                <w:bCs/>
                <w:sz w:val="18"/>
                <w:szCs w:val="18"/>
              </w:rPr>
              <w:t xml:space="preserve">128</w:t>
            </w:r>
          </w:p>
        </w:tc>
        <w:tc>
          <w:tcPr>
            <w:tcW w:type="dxa" w:w="1000"/>
            <w:tcBorders>
              <w:top w:val="single" w:color="C5D4B5" w:sz="1"/>
              <w:left w:val="single" w:color="C5D4B5" w:sz="1"/>
              <w:bottom w:val="single" w:color="C5D4B5" w:sz="1"/>
              <w:right w:val="single" w:color="C5D4B5" w:sz="1"/>
            </w:tcBorders>
            <w:shd w:fill="C5D4B5" w:val="clear"/>
            <w:tcMar>
              <w:top w:type="dxa" w:w="60"/>
              <w:left w:type="dxa" w:w="100"/>
              <w:bottom w:type="dxa" w:w="60"/>
              <w:right w:type="dxa" w:w="100"/>
            </w:tcMar>
          </w:tcPr>
          <w:p>
            <w:r>
              <w:rPr>
                <w:rFonts w:ascii="Arial" w:cs="Arial" w:eastAsia="Arial" w:hAnsi="Arial"/>
                <w:sz w:val="18"/>
                <w:szCs w:val="18"/>
              </w:rPr>
              <w:t xml:space="preserve"/>
            </w:r>
          </w:p>
        </w:tc>
        <w:tc>
          <w:tcPr>
            <w:tcW w:type="dxa" w:w="4760"/>
            <w:tcBorders>
              <w:top w:val="single" w:color="C5D4B5" w:sz="1"/>
              <w:left w:val="single" w:color="C5D4B5" w:sz="1"/>
              <w:bottom w:val="single" w:color="C5D4B5" w:sz="1"/>
              <w:right w:val="single" w:color="C5D4B5" w:sz="1"/>
            </w:tcBorders>
            <w:shd w:fill="C5D4B5" w:val="clear"/>
            <w:tcMar>
              <w:top w:type="dxa" w:w="60"/>
              <w:left w:type="dxa" w:w="100"/>
              <w:bottom w:type="dxa" w:w="60"/>
              <w:right w:type="dxa" w:w="100"/>
            </w:tcMar>
          </w:tcPr>
          <w:p>
            <w:r>
              <w:rPr>
                <w:rFonts w:ascii="Arial" w:cs="Arial" w:eastAsia="Arial" w:hAnsi="Arial"/>
                <w:sz w:val="18"/>
                <w:szCs w:val="18"/>
              </w:rPr>
              <w:t xml:space="preserve"/>
            </w:r>
          </w:p>
        </w:tc>
      </w:tr>
    </w:tbl>
    <w:p>
      <w:pPr>
        <w:spacing w:after="120"/>
      </w:pPr>
      <w:r>
        <w:rPr>
          <w:rFonts w:ascii="Arial" w:cs="Arial" w:eastAsia="Arial" w:hAnsi="Arial"/>
          <w:color w:val="000000"/>
          <w:sz w:val="20"/>
          <w:szCs w:val="20"/>
        </w:rPr>
        <w:t xml:space="preserve"/>
      </w:r>
    </w:p>
    <w:p>
      <w:pPr>
        <w:spacing w:after="120"/>
      </w:pPr>
      <w:r>
        <w:rPr>
          <w:rFonts w:ascii="Arial" w:cs="Arial" w:eastAsia="Arial" w:hAnsi="Arial"/>
          <w:color w:val="000000"/>
          <w:sz w:val="20"/>
          <w:szCs w:val="20"/>
        </w:rPr>
        <w:t xml:space="preserve">New phases (12–19) are highlighted. Original phases (1–11) unchanged.</w:t>
      </w:r>
    </w:p>
    <w:p>
      <w:r>
        <w:br w:type="page"/>
      </w:r>
    </w:p>
    <w:p>
      <w:pPr>
        <w:pStyle w:val="Heading1"/>
        <w:spacing w:after="200" w:before="360"/>
      </w:pPr>
      <w:r>
        <w:rPr>
          <w:rFonts w:ascii="Arial" w:cs="Arial" w:eastAsia="Arial" w:hAnsi="Arial"/>
          <w:b/>
          <w:bCs/>
          <w:color w:val="2D3B2D"/>
          <w:sz w:val="32"/>
          <w:szCs w:val="32"/>
        </w:rPr>
        <w:t xml:space="preserve">Updated Rule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Rule</w:t>
            </w:r>
          </w:p>
        </w:tc>
        <w:tc>
          <w:tcPr>
            <w:tcW w:type="dxa" w:w="7560"/>
            <w:tcBorders>
              <w:top w:val="single" w:color="C5D4B5" w:sz="1"/>
              <w:left w:val="single" w:color="C5D4B5" w:sz="1"/>
              <w:bottom w:val="single" w:color="C5D4B5" w:sz="1"/>
              <w:right w:val="single" w:color="C5D4B5" w:sz="1"/>
            </w:tcBorders>
            <w:shd w:fill="E8EFE0" w:val="clear"/>
            <w:tcMar>
              <w:top w:type="dxa" w:w="60"/>
              <w:left w:type="dxa" w:w="100"/>
              <w:bottom w:type="dxa" w:w="60"/>
              <w:right w:type="dxa" w:w="100"/>
            </w:tcMar>
          </w:tcPr>
          <w:p>
            <w:r>
              <w:rPr>
                <w:rFonts w:ascii="Arial" w:cs="Arial" w:eastAsia="Arial" w:hAnsi="Arial"/>
                <w:b/>
                <w:bCs/>
                <w:sz w:val="18"/>
                <w:szCs w:val="18"/>
              </w:rPr>
              <w:t xml:space="preserve">Phases Where Enforced</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R1</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P2.5, P3.7, P4.6, P5.8, P7.7, P14.3, P14.4, P14.6, P18.3, P18.5, P18.8</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R2</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P8.8, P10.4, P14.5</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R3</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P3.7, P5.8, P6.4, P7.7, P10.4, P14.1, P14.2, P14.3, P14.4, P14.7, P14.8</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R4</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P2.5, P3.3, P5.1, P5.4, P8.8, P10.4, P12.7, P16.1–4, P16.6, P17.1, P18.5</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R5</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P8.4, P8.8, P10.4, P13.1–6, P14.5, P16.3, P17.4, P17.5, P19.6</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R6</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P2.2–3, P3.2, P5.2, P6.1, P7.1–2, P8.1–2, P10.1, P11.1, P12.1–6, P15.3</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R7</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P1.6, P4.1, P4.6, P12.1–6, P19.1</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R8</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P2.5, P9.1–2, P10.4, P15.2, P15.6, P15.9, P16.1–4, P16.7, P18.1–8, P19.5</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R9</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P3.7, P4.6, P5.8, P6.4, P7.7, P14.1–2, P14.4, P14.6–8</w:t>
            </w:r>
          </w:p>
        </w:tc>
      </w:tr>
      <w:tr>
        <w:tc>
          <w:tcPr>
            <w:tcW w:type="dxa" w:w="180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All (R1–R9)</w:t>
            </w:r>
          </w:p>
        </w:tc>
        <w:tc>
          <w:tcPr>
            <w:tcW w:type="dxa" w:w="7560"/>
            <w:tcBorders>
              <w:top w:val="single" w:color="C5D4B5" w:sz="1"/>
              <w:left w:val="single" w:color="C5D4B5" w:sz="1"/>
              <w:bottom w:val="single" w:color="C5D4B5" w:sz="1"/>
              <w:right w:val="single" w:color="C5D4B5" w:sz="1"/>
            </w:tcBorders>
            <w:tcMar>
              <w:top w:type="dxa" w:w="60"/>
              <w:left w:type="dxa" w:w="100"/>
              <w:bottom w:type="dxa" w:w="60"/>
              <w:right w:type="dxa" w:w="100"/>
            </w:tcMar>
          </w:tcPr>
          <w:p>
            <w:r>
              <w:rPr>
                <w:rFonts w:ascii="Arial" w:cs="Arial" w:eastAsia="Arial" w:hAnsi="Arial"/>
                <w:sz w:val="16"/>
                <w:szCs w:val="16"/>
              </w:rPr>
              <w:t xml:space="preserve">P11.6, P19.9 (final gates)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SageReasoning V3 Adoption Scope — Revised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3B2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A5F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A7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2026-03-31T11:41:43.673Z</dcterms:created>
  <dcterms:modified xsi:type="dcterms:W3CDTF">2026-03-31T11:41:43.673Z</dcterms:modified>
</cp:coreProperties>
</file>

<file path=docProps/custom.xml><?xml version="1.0" encoding="utf-8"?>
<Properties xmlns="http://schemas.openxmlformats.org/officeDocument/2006/custom-properties" xmlns:vt="http://schemas.openxmlformats.org/officeDocument/2006/docPropsVTypes"/>
</file>