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SAGEREASONING</w:t>
      </w:r>
    </w:p>
    <w:p>
      <w:pPr>
        <w:spacing w:after="600"/>
        <w:jc w:val="center"/>
      </w:pPr>
      <w:r>
        <w:rPr>
          <w:rFonts w:ascii="Arial" w:cs="Arial" w:eastAsia="Arial" w:hAnsi="Arial"/>
          <w:color w:val="2E8B8B"/>
          <w:sz w:val="28"/>
          <w:szCs w:val="28"/>
        </w:rPr>
        <w:t xml:space="preserve">Market Validation, Competitive Positioning &amp;
Opportunity Assessment</w:t>
      </w:r>
    </w:p>
    <w:p>
      <w:pPr>
        <w:spacing w:after="100"/>
        <w:jc w:val="center"/>
      </w:pPr>
      <w:r>
        <w:rPr>
          <w:rFonts w:ascii="Arial" w:cs="Arial" w:eastAsia="Arial" w:hAnsi="Arial"/>
          <w:color w:val="666666"/>
          <w:sz w:val="22"/>
          <w:szCs w:val="22"/>
        </w:rPr>
        <w:t xml:space="preserve">April 2026</w:t>
      </w:r>
    </w:p>
    <w:p>
      <w:pPr>
        <w:spacing w:after="100"/>
        <w:jc w:val="center"/>
      </w:pPr>
      <w:r>
        <w:rPr>
          <w:rFonts w:ascii="Arial" w:cs="Arial" w:eastAsia="Arial" w:hAnsi="Arial"/>
          <w:color w:val="666666"/>
          <w:sz w:val="22"/>
          <w:szCs w:val="22"/>
        </w:rPr>
        <w:t xml:space="preserve">Prepared for Clinton Aitkenhead, Founder</w:t>
      </w:r>
    </w:p>
    <w:p>
      <w:pPr>
        <w:spacing w:after="2000"/>
        <w:jc w:val="center"/>
      </w:pPr>
      <w:r>
        <w:rPr>
          <w:rFonts w:ascii="Arial" w:cs="Arial" w:eastAsia="Arial" w:hAnsi="Arial"/>
          <w:b/>
          <w:bCs/>
          <w:color w:val="CC3333"/>
          <w:sz w:val="20"/>
          <w:szCs w:val="20"/>
        </w:rPr>
        <w:t xml:space="preserve">CONFIDENTIAL</w:t>
      </w:r>
    </w:p>
    <w:p>
      <w:r>
        <w:br w:type="page"/>
      </w:r>
    </w:p>
    <w:p>
      <w:pPr>
        <w:pStyle w:val="Heading1"/>
        <w:spacing w:after="200" w:before="300"/>
      </w:pPr>
      <w:r>
        <w:t xml:space="preserve">1. Executive Summary</w:t>
      </w:r>
    </w:p>
    <w:p>
      <w:pPr>
        <w:spacing w:after="120"/>
      </w:pPr>
      <w:r>
        <w:rPr>
          <w:rFonts w:ascii="Arial" w:cs="Arial" w:eastAsia="Arial" w:hAnsi="Arial"/>
          <w:color w:val="000000"/>
          <w:sz w:val="22"/>
          <w:szCs w:val="22"/>
        </w:rPr>
        <w:t xml:space="preserve">This report analyses SageReasoning’s full product landscape against the current market (April 2026) to determine the strongest and most viable business opportunity. The analysis evaluates three distinct product lines: (A) the Agent Trust Layer for autonomous AI agents, (B) the human-facing Stoic reasoning tools, and (C) the API marketplace for agent-consumable sage skills.</w:t>
      </w:r>
    </w:p>
    <w:p>
      <w:pPr>
        <w:spacing w:after="120"/>
      </w:pPr>
      <w:r>
        <w:rPr>
          <w:rFonts w:ascii="Arial" w:cs="Arial" w:eastAsia="Arial" w:hAnsi="Arial"/>
          <w:b/>
          <w:bCs/>
          <w:sz w:val="22"/>
          <w:szCs w:val="22"/>
        </w:rPr>
        <w:t xml:space="preserve">Primary finding: </w:t>
      </w:r>
      <w:r>
        <w:rPr>
          <w:rFonts w:ascii="Arial" w:cs="Arial" w:eastAsia="Arial" w:hAnsi="Arial"/>
          <w:sz w:val="22"/>
          <w:szCs w:val="22"/>
        </w:rPr>
        <w:t xml:space="preserve">The Agent Trust Layer represents the strongest opportunity. It enters a $350M+ AI governance market growing at 25–28% CAGR, addresses a validated gap (no competitor provides philosophical value-based reasoning for agents), and leverages 70% of existing infrastructure. The human-facing Stoic tools and API marketplace are viable secondary revenue streams but face higher competitive pressure and smaller addressable markets.</w:t>
      </w:r>
    </w:p>
    <w:p>
      <w:pPr>
        <w:spacing w:after="120"/>
      </w:pPr>
      <w:r>
        <w:rPr>
          <w:rFonts w:ascii="Arial" w:cs="Arial" w:eastAsia="Arial" w:hAnsi="Arial"/>
          <w:b/>
          <w:bCs/>
          <w:sz w:val="22"/>
          <w:szCs w:val="22"/>
        </w:rPr>
        <w:t xml:space="preserve">Critical qualification: </w:t>
      </w:r>
      <w:r>
        <w:rPr>
          <w:rFonts w:ascii="Arial" w:cs="Arial" w:eastAsia="Arial" w:hAnsi="Arial"/>
          <w:sz w:val="22"/>
          <w:szCs w:val="22"/>
        </w:rPr>
        <w:t xml:space="preserve">The Agent Trust Layer’s commercial viability depends on enterprise adoption of autonomous agents reaching sufficient scale. Current data suggests 29% of enterprises already run agentic AI in production, with Gartner projecting 40% of enterprise apps will feature task-specific agents by end of 2026. This adoption curve creates a narrow but real window of opportunity for a first-mover in agent certification infrastructure.</w:t>
      </w:r>
    </w:p>
    <w:p>
      <w:r>
        <w:br w:type="page"/>
      </w:r>
    </w:p>
    <w:p>
      <w:pPr>
        <w:pStyle w:val="Heading1"/>
        <w:spacing w:after="200" w:before="300"/>
      </w:pPr>
      <w:r>
        <w:t xml:space="preserve">2. Knowledge Context Review</w:t>
      </w:r>
    </w:p>
    <w:p>
      <w:pPr>
        <w:spacing w:after="120"/>
      </w:pPr>
      <w:r>
        <w:rPr>
          <w:rFonts w:ascii="Arial" w:cs="Arial" w:eastAsia="Arial" w:hAnsi="Arial"/>
          <w:color w:val="000000"/>
          <w:sz w:val="22"/>
          <w:szCs w:val="22"/>
        </w:rPr>
        <w:t xml:space="preserve">SageReasoning’s V3 adoption is complete across all 16 phases. The project is Mythos-ready with model-agnostic architecture, zero TypeScript compilation errors, and full manifest compliance (R1–R13). The knowledge context reveals three layers of capability:</w:t>
      </w:r>
    </w:p>
    <w:p>
      <w:pPr>
        <w:pStyle w:val="Heading2"/>
        <w:spacing w:after="200" w:before="300"/>
      </w:pPr>
      <w:r>
        <w:t xml:space="preserve">2.1 Core Asset: The Stoic Brain</w:t>
      </w:r>
    </w:p>
    <w:p>
      <w:pPr>
        <w:spacing w:after="120"/>
      </w:pPr>
      <w:r>
        <w:rPr>
          <w:rFonts w:ascii="Arial" w:cs="Arial" w:eastAsia="Arial" w:hAnsi="Arial"/>
          <w:color w:val="000000"/>
          <w:sz w:val="22"/>
          <w:szCs w:val="22"/>
        </w:rPr>
        <w:t xml:space="preserve">Eight JSON data files encoding 2,300 years of Stoic philosophy from 9 original-language translations (Greek and Latin). This includes a 67-term controlled glossary, 25-species passion taxonomy, 5-level katorthoma proximity scale, and a 4-stage evaluation sequence. No competitor has replicated this dataset or anything approaching it.</w:t>
      </w:r>
    </w:p>
    <w:p>
      <w:pPr>
        <w:pStyle w:val="Heading2"/>
        <w:spacing w:after="200" w:before="300"/>
      </w:pPr>
      <w:r>
        <w:t xml:space="preserve">2.2 Built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Status</w:t>
            </w:r>
          </w:p>
        </w:tc>
        <w:tc>
          <w:tcPr>
            <w:tcW w:type="dxa" w:w="4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Build Completeness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V3 Stoic Brain (8 JSON files)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Production</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Human-facing tools (score, journal, baseline, scenarios, dashboard)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Production</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Agent-facing API (15+ sage skills, OpenAPI 3.1.0)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Production</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Sage Mentor (17 TypeScript modules)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Built, offline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90% (pending Supabase wiring)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Support Agent (10 tools, LLM bridge, pattern engine)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Deployed (Vercel)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Agent Trust Layer (framework, schema, progression toolkit)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Designed + coded offline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Session Bridge (Cowork integration)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Built</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95% (pending migration)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Security hardening (11 critical fixes)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Applied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Compliance pipeline (R14, 20 obligations)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Operational</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Revenue model (licence, tiers, IP protection)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Implemented</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85% (Stripe pending)</w:t>
            </w:r>
          </w:p>
        </w:tc>
      </w:tr>
    </w:tbl>
    <w:p>
      <w:pPr>
        <w:spacing w:after="200"/>
      </w:pPr>
    </w:p>
    <w:p>
      <w:pPr>
        <w:pStyle w:val="Heading2"/>
        <w:spacing w:after="200" w:before="300"/>
      </w:pPr>
      <w:r>
        <w:t xml:space="preserve">2.3 Governance Framework</w:t>
      </w:r>
    </w:p>
    <w:p>
      <w:pPr>
        <w:spacing w:after="120"/>
      </w:pPr>
      <w:r>
        <w:rPr>
          <w:rFonts w:ascii="Arial" w:cs="Arial" w:eastAsia="Arial" w:hAnsi="Arial"/>
          <w:color w:val="000000"/>
          <w:sz w:val="22"/>
          <w:szCs w:val="22"/>
        </w:rPr>
        <w:t xml:space="preserve">Thirteen manifest rules (R1–R13) plus R14 (regulatory compliance pipeline) govern all output. This governance layer is itself a competitive asset: it provides auditable, reproducible evaluation quality that raw LLM prompting cannot guarantee. The compliance register tracks 20 regulatory obligations across EU AI Act, Australian Privacy/Consumer law, ISO 42001, and NIST AI RMF.</w:t>
      </w:r>
    </w:p>
    <w:p>
      <w:r>
        <w:br w:type="page"/>
      </w:r>
    </w:p>
    <w:p>
      <w:pPr>
        <w:pStyle w:val="Heading1"/>
        <w:spacing w:after="200" w:before="300"/>
      </w:pPr>
      <w:r>
        <w:t xml:space="preserve">3. Market Landscape Analysis</w:t>
      </w:r>
    </w:p>
    <w:p>
      <w:pPr>
        <w:pStyle w:val="Heading2"/>
        <w:spacing w:after="200" w:before="300"/>
      </w:pPr>
      <w:r>
        <w:t xml:space="preserve">3.1 AI Agent Trust &amp; Governance Market</w:t>
      </w:r>
    </w:p>
    <w:p>
      <w:pPr>
        <w:spacing w:after="120"/>
      </w:pPr>
      <w:r>
        <w:rPr>
          <w:rFonts w:ascii="Arial" w:cs="Arial" w:eastAsia="Arial" w:hAnsi="Arial"/>
          <w:b/>
          <w:bCs/>
          <w:sz w:val="22"/>
          <w:szCs w:val="22"/>
        </w:rPr>
        <w:t xml:space="preserve">Market size: </w:t>
      </w:r>
      <w:r>
        <w:rPr>
          <w:rFonts w:ascii="Arial" w:cs="Arial" w:eastAsia="Arial" w:hAnsi="Arial"/>
          <w:sz w:val="22"/>
          <w:szCs w:val="22"/>
        </w:rPr>
        <w:t xml:space="preserve">$352–418M in 2026, growing to $2.14B by 2034 at 25–28% CAGR. The broader AI model risk management market is $8.33B in 2026.</w:t>
      </w:r>
    </w:p>
    <w:p>
      <w:pPr>
        <w:spacing w:after="120"/>
      </w:pPr>
      <w:r>
        <w:rPr>
          <w:rFonts w:ascii="Arial" w:cs="Arial" w:eastAsia="Arial" w:hAnsi="Arial"/>
          <w:color w:val="000000"/>
          <w:sz w:val="22"/>
          <w:szCs w:val="22"/>
        </w:rPr>
        <w:t xml:space="preserve">The market is segmented into four layers, none of which directly competes with SageReasoning’s value-based reasoning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700"/>
        <w:gridCol w:w="30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Key Players</w:t>
            </w:r>
          </w:p>
        </w:tc>
        <w:tc>
          <w:tcPr>
            <w:tcW w:type="dxa" w:w="2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They Do</w:t>
            </w:r>
          </w:p>
        </w:tc>
        <w:tc>
          <w:tcPr>
            <w:tcW w:type="dxa" w:w="3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Gap vs. SageReasoning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Trust certification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TrustArc, CSA STAR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Issue responsible AI certificates based on compliance checklists (EU AI Act, NIST, ISO 42001)</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Compliance-based, not reasoning-based. Certify processes, not agent judgement quality.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Guardrails &amp; safety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Galileo AI, NVIDIA NeMo, Guardrails AI, Lakera (acquired by Check Point)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Runtime content filtering, hallucination detection, input/output validation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Reactive filters. Block bad outputs. Do not teach agents to reason better.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Governance platforms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Credo AI ($41.3M raised), OneTrust, Holistic AI, Microsoft Agent Governance Toolkit</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Policy management, risk assessment, audit trails, bias detection</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Process governance. Manage policies around agents, do not evaluate agent reasoning quality.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Observability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Arize AI, Langfuse, LangSmith, Braintrust, Fiddler AI</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Monitor LLM performance, trace calls, detect regressions, evaluate outputs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Operational monitoring. Track whether outputs are correct, not whether reasoning is principled.</w:t>
            </w:r>
          </w:p>
        </w:tc>
      </w:tr>
    </w:tbl>
    <w:p>
      <w:pPr>
        <w:spacing w:after="200"/>
      </w:pPr>
    </w:p>
    <w:p>
      <w:pPr>
        <w:spacing w:after="120"/>
      </w:pPr>
      <w:r>
        <w:rPr>
          <w:rFonts w:ascii="Arial" w:cs="Arial" w:eastAsia="Arial" w:hAnsi="Arial"/>
          <w:b/>
          <w:bCs/>
          <w:sz w:val="22"/>
          <w:szCs w:val="22"/>
        </w:rPr>
        <w:t xml:space="preserve">Critical gap identified: </w:t>
      </w:r>
      <w:r>
        <w:rPr>
          <w:rFonts w:ascii="Arial" w:cs="Arial" w:eastAsia="Arial" w:hAnsi="Arial"/>
          <w:sz w:val="22"/>
          <w:szCs w:val="22"/>
        </w:rPr>
        <w:t xml:space="preserve">No existing product provides philosophical or value-based reasoning as a service for AI agents. Every competitor addresses compliance, safety, or operational quality. None addresses reasoning quality, the capacity for principled judgement in novel situations, or a certification of agent reasoning rather than agent outputs.</w:t>
      </w:r>
    </w:p>
    <w:p>
      <w:pPr>
        <w:pStyle w:val="Heading2"/>
        <w:spacing w:after="200" w:before="300"/>
      </w:pPr>
      <w:r>
        <w:t xml:space="preserve">3.2 Stoic Philosophy Consumer Market</w:t>
      </w:r>
    </w:p>
    <w:p>
      <w:pPr>
        <w:spacing w:after="120"/>
      </w:pPr>
      <w:r>
        <w:rPr>
          <w:rFonts w:ascii="Arial" w:cs="Arial" w:eastAsia="Arial" w:hAnsi="Arial"/>
          <w:b/>
          <w:bCs/>
          <w:sz w:val="22"/>
          <w:szCs w:val="22"/>
        </w:rPr>
        <w:t xml:space="preserve">Market context: </w:t>
      </w:r>
      <w:r>
        <w:rPr>
          <w:rFonts w:ascii="Arial" w:cs="Arial" w:eastAsia="Arial" w:hAnsi="Arial"/>
          <w:sz w:val="22"/>
          <w:szCs w:val="22"/>
        </w:rPr>
        <w:t xml:space="preserve">The wellness market is $6.8T (2024), with the coaching platform segment at $4.22B growing at 11% CAGR. Stoicism-related discussions are up 400% on online platforms. Ryan Holiday’s Daily Stoic has sold 10M+ books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Competitor</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Pricing</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Users/Revenue</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What They Offer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Stoa (meditation app)</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$9.99/mo or $89.99/yr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~77K Android downloads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 hours of guided Stoic meditations, classical texts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Stoic (Y Combinator)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$4.99/mo or $49.99/yr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~$70K/mo revenue, 70K downloads/mo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AI stress relief, journaling, affirmations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Daily Stoic (Ryan Holiday)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Books + courses + events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10M+ book sales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Lifestyle brand: books, courses, live tours, physical shop</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Life Note (AI journaling)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Freemium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Emerging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1000+ AI mentors trained on historical figures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Replika (AI companion)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Subscription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$14M/yr revenue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Emotional support companion, wellness features</w:t>
            </w:r>
          </w:p>
        </w:tc>
      </w:tr>
    </w:tbl>
    <w:p>
      <w:pPr>
        <w:spacing w:after="200"/>
      </w:pPr>
    </w:p>
    <w:p>
      <w:pPr>
        <w:spacing w:after="120"/>
      </w:pPr>
      <w:r>
        <w:rPr>
          <w:rFonts w:ascii="Arial" w:cs="Arial" w:eastAsia="Arial" w:hAnsi="Arial"/>
          <w:b/>
          <w:bCs/>
          <w:sz w:val="22"/>
          <w:szCs w:val="22"/>
        </w:rPr>
        <w:t xml:space="preserve">Competitive dynamics: </w:t>
      </w:r>
      <w:r>
        <w:rPr>
          <w:rFonts w:ascii="Arial" w:cs="Arial" w:eastAsia="Arial" w:hAnsi="Arial"/>
          <w:sz w:val="22"/>
          <w:szCs w:val="22"/>
        </w:rPr>
        <w:t xml:space="preserve">The human-facing Stoic market is dominated by Ryan Holiday’s lifestyle brand for consumer reach and by meditation/journaling apps for digital engagement. SageReasoning’s 55-day journal and scoring tools are more academically rigorous than any competitor, but this is a crowded space with strong incumbents. Differentiation is possible but customer acquisition will be harder and more expensive than the B2B agent market.</w:t>
      </w:r>
    </w:p>
    <w:p>
      <w:pPr>
        <w:pStyle w:val="Heading2"/>
        <w:spacing w:after="200" w:before="300"/>
      </w:pPr>
      <w:r>
        <w:t xml:space="preserve">3.3 AI Agent API Marketplace</w:t>
      </w:r>
    </w:p>
    <w:p>
      <w:pPr>
        <w:spacing w:after="120"/>
      </w:pPr>
      <w:r>
        <w:rPr>
          <w:rFonts w:ascii="Arial" w:cs="Arial" w:eastAsia="Arial" w:hAnsi="Arial"/>
          <w:b/>
          <w:bCs/>
          <w:sz w:val="22"/>
          <w:szCs w:val="22"/>
        </w:rPr>
        <w:t xml:space="preserve">Market size: </w:t>
      </w:r>
      <w:r>
        <w:rPr>
          <w:rFonts w:ascii="Arial" w:cs="Arial" w:eastAsia="Arial" w:hAnsi="Arial"/>
          <w:sz w:val="22"/>
          <w:szCs w:val="22"/>
        </w:rPr>
        <w:t xml:space="preserve">Global agentic AI market is $10.8–11.8B in 2026, projected to $196.6B by 2034. MCP has 97M+ downloads. 150+ organisations have adopted the A2A protocol. 120+ production-ready agent tools exist across 11 categories.</w:t>
      </w:r>
    </w:p>
    <w:p>
      <w:pPr>
        <w:spacing w:after="120"/>
      </w:pPr>
      <w:r>
        <w:rPr>
          <w:rFonts w:ascii="Arial" w:cs="Arial" w:eastAsia="Arial" w:hAnsi="Arial"/>
          <w:color w:val="000000"/>
          <w:sz w:val="22"/>
          <w:szCs w:val="22"/>
        </w:rPr>
        <w:t xml:space="preserve">The agent API landscape is characterised by protocol convergence (MCP winning), framework maturity (LangGraph, CrewAI, AutoGen all production-ready), and consumption-based pricing becoming the norm (55% of organisations prefer it). SageReasoning’s API is already discoverable via llms.txt, A2A agent-card.json, and AGENTS.md.</w:t>
      </w:r>
    </w:p>
    <w:p>
      <w:pPr>
        <w:spacing w:after="120"/>
      </w:pPr>
      <w:r>
        <w:rPr>
          <w:rFonts w:ascii="Arial" w:cs="Arial" w:eastAsia="Arial" w:hAnsi="Arial"/>
          <w:b/>
          <w:bCs/>
          <w:sz w:val="22"/>
          <w:szCs w:val="22"/>
        </w:rPr>
        <w:t xml:space="preserve">Reasoning-as-a-Service gap: </w:t>
      </w:r>
      <w:r>
        <w:rPr>
          <w:rFonts w:ascii="Arial" w:cs="Arial" w:eastAsia="Arial" w:hAnsi="Arial"/>
          <w:sz w:val="22"/>
          <w:szCs w:val="22"/>
        </w:rPr>
        <w:t xml:space="preserve">While reasoning models (GPT-5.4, Claude 4.6) provide general reasoning capabilities, no API provides structured domain-specific reasoning frameworks that agents can call as tools. SageReasoning’s sage-reason endpoint is, as far as this research can determine, the only API offering Stoic virtue-based evaluation as a service.</w:t>
      </w:r>
    </w:p>
    <w:p>
      <w:r>
        <w:br w:type="page"/>
      </w:r>
    </w:p>
    <w:p>
      <w:pPr>
        <w:pStyle w:val="Heading1"/>
        <w:spacing w:after="200" w:before="300"/>
      </w:pPr>
      <w:r>
        <w:t xml:space="preserve">4. Customer Segment Analysis</w:t>
      </w:r>
    </w:p>
    <w:p>
      <w:pPr>
        <w:pStyle w:val="Heading2"/>
        <w:spacing w:after="200" w:before="300"/>
      </w:pPr>
      <w:r>
        <w:t xml:space="preserve">4.1 Agent Trust Layer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600"/>
        <w:gridCol w:w="2460"/>
      </w:tblGrid>
      <w:tr>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Segment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Pain Point</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Why SageReasoning</w:t>
            </w:r>
          </w:p>
        </w:tc>
        <w:tc>
          <w:tcPr>
            <w:tcW w:type="dxa" w:w="2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Willingness to Pay</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Agent framework developers (LangChain, CrewAI, AutoGen ecosystems)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Agents fail unpredictably in novel situations. No way to measure or certify reasoning quality.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Accreditation provides portable trust signal. Progression toolkit turns reasoning failures into improvement.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 Tool/middleware pricing ($0.01–$0.50/call) is accepted norm.</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Enterprise AI teams deploying autonomous agents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Governance teams demand auditable reasoning, not just output monitoring. 80% lack mature agent governance.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R7 source fidelity + R1–R13 governance = auditable evaluation infrastructure that compliance teams trust.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Very high. Enterprise AI budgets are $50K–$300K+ for custom solutions.</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AI agent platforms (Salesforce Agentforce, Microsoft Copilot Studio)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Platform operators need trust differentiation. Agents on their platform must be trustworthy.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White-label accreditation badge. Platform verifies agent reasoning quality via SageReasoning API.</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 Platform-level partnerships are high-value, recurring.</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Regulated industry agent builders (finance, healthcare, legal)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EU AI Act (Aug 2026), NIST AI RMF, sector-specific regulations demand explainable, auditable AI.</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Structured evaluation with citation trails. Compliance infrastructure, not just compliance checklist.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Very high. Regulatory compliance is non-negotiable spend.</w:t>
            </w:r>
          </w:p>
        </w:tc>
      </w:tr>
    </w:tbl>
    <w:p>
      <w:pPr>
        <w:spacing w:after="200"/>
      </w:pPr>
    </w:p>
    <w:p>
      <w:pPr>
        <w:pStyle w:val="Heading2"/>
        <w:spacing w:after="200" w:before="300"/>
      </w:pPr>
      <w:r>
        <w:t xml:space="preserve">4.2 Human-Facing Tool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600"/>
        <w:gridCol w:w="2360"/>
      </w:tblGrid>
      <w:tr>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Segment</w:t>
            </w:r>
          </w:p>
        </w:tc>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Pain Point</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Why SageReasoning</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Willingness to Pay</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Stoic philosophy practitioners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Existing apps are shallow (quote-of-the-day) or meditation-only. No rigorous practice tool.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55-day journal with source-cited evaluation is the deepest digital Stoic practice available.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Low-medium. Consumer apps top out at $50–$100/year.</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Personal development enthusiasts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AI coaching apps are generic. No structured philosophical framework.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Stoic Brain provides genuine reasoning structure vs. generic motivational advice.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 $5–10/month is competitive pricing.</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Philosophy educators and students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digital tool maps ancient source texts to modern practice.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67-term glossary, 9 original translations, source fidelity makes this an academic resource.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Low. Educational pricing typically discounted.</w:t>
            </w:r>
          </w:p>
        </w:tc>
      </w:tr>
    </w:tbl>
    <w:p>
      <w:pPr>
        <w:spacing w:after="200"/>
      </w:pPr>
    </w:p>
    <w:p>
      <w:pPr>
        <w:pStyle w:val="Heading2"/>
        <w:spacing w:after="200" w:before="300"/>
      </w:pPr>
      <w:r>
        <w:t xml:space="preserve">4.3 API Marketplace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600"/>
        <w:gridCol w:w="2360"/>
      </w:tblGrid>
      <w:tr>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Segment</w:t>
            </w:r>
          </w:p>
        </w:tc>
        <w:tc>
          <w:tcPr>
            <w:tcW w:type="dxa" w:w="2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Pain Point</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Why SageReasoning</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Willingness to Pay</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Agent developers building ethical AI</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plug-and-play ethical reasoning API. Must build custom guardrails.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sage-reason + sage-guard provide instant ethical evaluation infrastructure.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Medium-high. Per-call pricing at $0.0025–$0.50 is competitive.</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Content platforms needing moderation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Content filters catch bad content but don’t evaluate reasoning quality.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sage-filter + sage-audit provide value-based content evaluation, not just keyword matching.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 Depends on volume and alternative availability.</w:t>
            </w:r>
          </w:p>
        </w:tc>
      </w:tr>
      <w:tr>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Decision support tool builders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structured decision framework API available.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sage-decide + sage-iterate provide ranked option evaluation with improvement paths.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 Niche but growing as agent tooling matures.</w:t>
            </w:r>
          </w:p>
        </w:tc>
      </w:tr>
    </w:tbl>
    <w:p>
      <w:r>
        <w:br w:type="page"/>
      </w:r>
    </w:p>
    <w:p>
      <w:pPr>
        <w:pStyle w:val="Heading1"/>
        <w:spacing w:after="200" w:before="300"/>
      </w:pPr>
      <w:r>
        <w:t xml:space="preserve">5. Competitive Positioning Assessment</w:t>
      </w:r>
    </w:p>
    <w:p>
      <w:pPr>
        <w:pStyle w:val="Heading2"/>
        <w:spacing w:after="200" w:before="300"/>
      </w:pPr>
      <w:r>
        <w:t xml:space="preserve">5.1 SageReasoning vs. Existing Categories</w:t>
      </w:r>
    </w:p>
    <w:p>
      <w:pPr>
        <w:spacing w:after="120"/>
      </w:pPr>
      <w:r>
        <w:rPr>
          <w:rFonts w:ascii="Arial" w:cs="Arial" w:eastAsia="Arial" w:hAnsi="Arial"/>
          <w:color w:val="000000"/>
          <w:sz w:val="22"/>
          <w:szCs w:val="22"/>
        </w:rPr>
        <w:t xml:space="preserve">SageReasoning does not fit neatly into any existing market category. This is both its greatest strength and its primary go-to-market challenge. The positioning map below shows where SageReasoning sits relative to existing players: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100"/>
        <w:gridCol w:w="2100"/>
        <w:gridCol w:w="1760"/>
      </w:tblGrid>
      <w:tr>
        <w:tc>
          <w:tcPr>
            <w:tcW w:type="dxa" w:w="13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Dimension</w:t>
            </w:r>
          </w:p>
        </w:tc>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Guardrails (Galileo, NeMo)</w:t>
            </w:r>
          </w:p>
        </w:tc>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Governance (Credo AI, OneTrust)</w:t>
            </w:r>
          </w:p>
        </w:tc>
        <w:tc>
          <w:tcPr>
            <w:tcW w:type="dxa" w:w="2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Observability (Arize, Langfuse)</w:t>
            </w:r>
          </w:p>
        </w:tc>
        <w:tc>
          <w:tcPr>
            <w:tcW w:type="dxa" w:w="1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SageReasoning</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What it evaluates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Output safety (hallucinations, toxic content, prompt injection)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Process compliance (policies, risk assessments, audit trails)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Operational quality (latency, errors, regressions, traces)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Reasoning quality (philosophical virtue, principled judgement, passion diagnosis)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When it acts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Runtime (filter before output)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Design-time + audit-time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Post-deployment monitoring</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Before action + after action + ongoing accreditation</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What it teaches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Nothing (blocks or passes)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How to comply with policy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Where performance degrades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How to reason better (progression toolkit)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Moat type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Technical (speed, detection accuracy)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Regulatory expertise + integrations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Data pipeline + ecosystem lock-in</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Philosophical dataset + governance rules + source fidelity</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Pricing model</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Per-call or open-source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Enterprise licence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Freemium + enterprise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Per-call (agents) + subscription (humans)</w:t>
            </w:r>
          </w:p>
        </w:tc>
      </w:tr>
    </w:tbl>
    <w:p>
      <w:pPr>
        <w:spacing w:after="200"/>
      </w:pPr>
    </w:p>
    <w:p>
      <w:pPr>
        <w:pStyle w:val="Heading2"/>
        <w:spacing w:after="200" w:before="300"/>
      </w:pPr>
      <w:r>
        <w:t xml:space="preserve">5.2 The Mythos-Era Moat</w:t>
      </w:r>
    </w:p>
    <w:p>
      <w:pPr>
        <w:spacing w:after="120"/>
      </w:pPr>
      <w:r>
        <w:rPr>
          <w:rFonts w:ascii="Arial" w:cs="Arial" w:eastAsia="Arial" w:hAnsi="Arial"/>
          <w:color w:val="000000"/>
          <w:sz w:val="22"/>
          <w:szCs w:val="22"/>
        </w:rPr>
        <w:t xml:space="preserve">The Mythos competitive analysis (already completed in Phase 15) correctly identifies that SageReasoning’s value increases as models get smarter. The market research validates this claim:</w:t>
      </w:r>
    </w:p>
    <w:p>
      <w:pPr>
        <w:pStyle w:val="ListParagraph"/>
        <w:numPr>
          <w:ilvl w:val="0"/>
          <w:numId w:val="2"/>
        </w:numPr>
        <w:spacing w:after="80"/>
      </w:pPr>
      <w:r>
        <w:rPr>
          <w:rFonts w:ascii="Arial" w:cs="Arial" w:eastAsia="Arial" w:hAnsi="Arial"/>
          <w:sz w:val="22"/>
          <w:szCs w:val="22"/>
        </w:rPr>
        <w:t xml:space="preserve">Guardrails tools become less necessary as models self-censor better, but reasoning quality evaluation becomes more necessary as agents take on more autonomous decisions.</w:t>
      </w:r>
    </w:p>
    <w:p>
      <w:pPr>
        <w:pStyle w:val="ListParagraph"/>
        <w:numPr>
          <w:ilvl w:val="0"/>
          <w:numId w:val="2"/>
        </w:numPr>
        <w:spacing w:after="80"/>
      </w:pPr>
      <w:r>
        <w:rPr>
          <w:rFonts w:ascii="Arial" w:cs="Arial" w:eastAsia="Arial" w:hAnsi="Arial"/>
          <w:sz w:val="22"/>
          <w:szCs w:val="22"/>
        </w:rPr>
        <w:t xml:space="preserve">Governance platforms track whether policies are followed, but cannot evaluate whether the underlying reasoning is principled. As agents handle novel situations, policy checklists become insufficient.</w:t>
      </w:r>
    </w:p>
    <w:p>
      <w:pPr>
        <w:pStyle w:val="ListParagraph"/>
        <w:numPr>
          <w:ilvl w:val="0"/>
          <w:numId w:val="2"/>
        </w:numPr>
        <w:spacing w:after="80"/>
      </w:pPr>
      <w:r>
        <w:rPr>
          <w:rFonts w:ascii="Arial" w:cs="Arial" w:eastAsia="Arial" w:hAnsi="Arial"/>
          <w:sz w:val="22"/>
          <w:szCs w:val="22"/>
        </w:rPr>
        <w:t xml:space="preserve">Observability tools detect operational failures, but principled reasoning that produces a wrong outcome (due to incomplete information) looks like a success to an observability tool. SageReasoning evaluates the reasoning, not just the result.</w:t>
      </w:r>
    </w:p>
    <w:p>
      <w:pPr>
        <w:spacing w:after="120"/>
      </w:pPr>
      <w:r>
        <w:rPr>
          <w:rFonts w:ascii="Arial" w:cs="Arial" w:eastAsia="Arial" w:hAnsi="Arial"/>
          <w:b/>
          <w:bCs/>
          <w:sz w:val="22"/>
          <w:szCs w:val="22"/>
        </w:rPr>
        <w:t xml:space="preserve">Moat durability: </w:t>
      </w:r>
      <w:r>
        <w:rPr>
          <w:rFonts w:ascii="Arial" w:cs="Arial" w:eastAsia="Arial" w:hAnsi="Arial"/>
          <w:sz w:val="22"/>
          <w:szCs w:val="22"/>
        </w:rPr>
        <w:t xml:space="preserve">The Stoic Brain dataset is not replicable by running a larger model. It represents 2,300 years of philosophical tradition encoded by a human who studied the original Greek and Latin sources. The governance rules (R1–R13) represent domain expertise about what ethical evaluation requires. These are human-judgment assets, not computational assets.</w:t>
      </w:r>
    </w:p>
    <w:p>
      <w:r>
        <w:br w:type="page"/>
      </w:r>
    </w:p>
    <w:p>
      <w:pPr>
        <w:pStyle w:val="Heading1"/>
        <w:spacing w:after="200" w:before="300"/>
      </w:pPr>
      <w:r>
        <w:t xml:space="preserve">6. Opportunity Assessment</w:t>
      </w:r>
    </w:p>
    <w:p>
      <w:pPr>
        <w:pStyle w:val="Heading2"/>
        <w:spacing w:after="200" w:before="300"/>
      </w:pPr>
      <w:r>
        <w:t xml:space="preserve">6.1 Opportunity A: Agent Trust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Rating</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Market size</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$352–418M AI governance (2026), $10.8B agentic AI market. Growing 25–28% CAGR.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Competitive gap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competitor offers value-based reasoning evaluation or agent certification. Category-creating opportunity.</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Build readiness</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70% of infrastructure built. Framework coded, schema drafted, progression toolkit designed.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Revenue potential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Per-call API + accreditation renewal + progression toolkit coaching = three revenue streams per customer.</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Customer validation</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CC7700"/>
                <w:sz w:val="20"/>
                <w:szCs w:val="20"/>
              </w:rPr>
              <w:t xml:space="preserve">MEDIUM</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Enterprise demand for agent governance validated (80% lack mature governance), but no SageReasoning-specific customer validation yet.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Timing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EU AI Act enforcement Aug 2026. Gartner: 40% of enterprise apps will have agents by end of 2026. Window is now.</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Solo founder fit</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CC7700"/>
                <w:sz w:val="20"/>
                <w:szCs w:val="20"/>
              </w:rPr>
              <w:t xml:space="preserve">MEDIUM</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B2B enterprise sales typically requires a team. API self-serve model mitigates this partially.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Mythos resilience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Value increases as models get smarter. Compliance infrastructure, not reasoning shortcut.</w:t>
            </w:r>
          </w:p>
        </w:tc>
      </w:tr>
    </w:tbl>
    <w:p>
      <w:pPr>
        <w:spacing w:after="300"/>
      </w:pPr>
    </w:p>
    <w:p>
      <w:pPr>
        <w:pStyle w:val="Heading2"/>
        <w:spacing w:after="200" w:before="300"/>
      </w:pPr>
      <w:r>
        <w:t xml:space="preserve">6.2 Opportunity B: Human-Facing Stoic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Rating</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Market size</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CC7700"/>
                <w:sz w:val="20"/>
                <w:szCs w:val="20"/>
              </w:rPr>
              <w:t xml:space="preserve">MEDIUM</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$4.22B coaching platform market. Stoic-specific segment is much smaller, likely $50–200M.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Competitive gap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7700"/>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More rigorous than competitors, but Ryan Holiday dominates consumer awareness. Apps like Stoa and Stoic have traction.</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Build readiness</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All human-facing tools are production-complete. Website deployed on Vercel.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Revenue potential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3333"/>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Consumer pricing ceiling: $50–100/year. High churn typical for self-improvement apps.</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Customer validation</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CC3333"/>
                <w:sz w:val="20"/>
                <w:szCs w:val="20"/>
              </w:rPr>
              <w:t xml:space="preserve">LOW</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paying customers yet. No user testing data. No community metrics.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Timing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7700"/>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Stoicism is trending (400% discussion growth), but market is also getting crowded.</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Solo founder fit</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Self-serve product. No enterprise sales needed. Can run with low operational overhead.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Mythos resilience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3333"/>
                <w:sz w:val="20"/>
                <w:szCs w:val="20"/>
              </w:rPr>
              <w:t xml:space="preserve">LOW</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Smarter models make generic Stoic coaching trivially available. The “why pay?” question is hardest here.</w:t>
            </w:r>
          </w:p>
        </w:tc>
      </w:tr>
    </w:tbl>
    <w:p>
      <w:pPr>
        <w:spacing w:after="300"/>
      </w:pPr>
    </w:p>
    <w:p>
      <w:pPr>
        <w:pStyle w:val="Heading2"/>
        <w:spacing w:after="200" w:before="300"/>
      </w:pPr>
      <w:r>
        <w:t xml:space="preserve">6.3 Opportunity C: Agent API Marketplace (Sage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Rating</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Market size</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$10.8B agentic AI market. Agent tool spending is growing rapidly. 97M MCP downloads.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Competitive gap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7700"/>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direct competitor for Stoic reasoning-as-a-service, but the need itself is unproven at scale.</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Build readiness</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15+ sage skills built. API spec at v3.0.0. Discovery files deployed. Agent card published.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Revenue potential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7700"/>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Per-call pricing at $0.0025–$0.50 with ~90% margin. Scales with volume, but volume is uncertain.</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Customer validation</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CC3333"/>
                <w:sz w:val="20"/>
                <w:szCs w:val="20"/>
              </w:rPr>
              <w:t xml:space="preserve">LOW</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agent developers have integrated SageReasoning skills in production yet.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Timing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Agent framework ecosystem is mature. MCP adoption is accelerating. Discovery protocols are live.</w:t>
            </w:r>
          </w:p>
        </w:tc>
      </w:tr>
      <w:tr>
        <w:tc>
          <w:tcPr>
            <w:tcW w:type="dxa" w:w="28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Solo founder fit</w:t>
            </w:r>
          </w:p>
        </w:tc>
        <w:tc>
          <w:tcPr>
            <w:tcW w:type="dxa" w:w="120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center"/>
            </w:pPr>
            <w:r>
              <w:rPr>
                <w:rFonts w:ascii="Arial" w:cs="Arial" w:eastAsia="Arial" w:hAnsi="Arial"/>
                <w:b/>
                <w:bCs/>
                <w:color w:val="1B7A3D"/>
                <w:sz w:val="20"/>
                <w:szCs w:val="20"/>
              </w:rPr>
              <w:t xml:space="preserve">HIGH</w:t>
            </w:r>
          </w:p>
        </w:tc>
        <w:tc>
          <w:tcPr>
            <w:tcW w:type="dxa" w:w="5360"/>
            <w:tcBorders>
              <w:top w:val="single" w:color="CCCCCC" w:sz="1"/>
              <w:left w:val="single" w:color="CCCCCC" w:sz="1"/>
              <w:bottom w:val="single" w:color="CCCCCC" w:sz="1"/>
              <w:right w:val="single" w:color="CCCCCC" w:sz="1"/>
            </w:tcBorders>
            <w:shd w:fill="F0F5F7"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API-first, self-serve. Once built, it runs with minimal intervention.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Mythos resilience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C7700"/>
                <w:sz w:val="20"/>
                <w:szCs w:val="20"/>
              </w:rPr>
              <w:t xml:space="preserve">MEDIUM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Source fidelity and governance are durable, but agents may find “good enough” reasoning natively.</w:t>
            </w:r>
          </w:p>
        </w:tc>
      </w:tr>
    </w:tbl>
    <w:p>
      <w:r>
        <w:br w:type="page"/>
      </w:r>
    </w:p>
    <w:p>
      <w:pPr>
        <w:pStyle w:val="Heading1"/>
        <w:spacing w:after="200" w:before="300"/>
      </w:pPr>
      <w:r>
        <w:t xml:space="preserve">7. Recommended Strategy</w:t>
      </w:r>
    </w:p>
    <w:p>
      <w:pPr>
        <w:pStyle w:val="Heading2"/>
        <w:spacing w:after="200" w:before="300"/>
      </w:pPr>
      <w:r>
        <w:t xml:space="preserve">7.1 Primary Opportunity: Agent Trust Layer</w:t>
      </w:r>
    </w:p>
    <w:p>
      <w:pPr>
        <w:spacing w:after="120"/>
      </w:pPr>
      <w:r>
        <w:rPr>
          <w:rFonts w:ascii="Arial" w:cs="Arial" w:eastAsia="Arial" w:hAnsi="Arial"/>
          <w:color w:val="000000"/>
          <w:sz w:val="22"/>
          <w:szCs w:val="22"/>
        </w:rPr>
        <w:t xml:space="preserve">The Agent Trust Layer is the strongest opportunity for three reasons:</w:t>
      </w:r>
    </w:p>
    <w:p>
      <w:pPr>
        <w:pStyle w:val="ListParagraph"/>
        <w:numPr>
          <w:ilvl w:val="0"/>
          <w:numId w:val="3"/>
        </w:numPr>
        <w:spacing w:after="80"/>
      </w:pPr>
      <w:r>
        <w:rPr>
          <w:rFonts w:ascii="Arial" w:cs="Arial" w:eastAsia="Arial" w:hAnsi="Arial"/>
          <w:sz w:val="22"/>
          <w:szCs w:val="22"/>
        </w:rPr>
        <w:t xml:space="preserve">Category creation. SageReasoning would be the first certification authority for principled agent reasoning. This is not a feature comparison against existing products; it is a new category. Category creators capture disproportionate value when the category grows.</w:t>
      </w:r>
    </w:p>
    <w:p>
      <w:pPr>
        <w:pStyle w:val="ListParagraph"/>
        <w:numPr>
          <w:ilvl w:val="0"/>
          <w:numId w:val="3"/>
        </w:numPr>
        <w:spacing w:after="80"/>
      </w:pPr>
      <w:r>
        <w:rPr>
          <w:rFonts w:ascii="Arial" w:cs="Arial" w:eastAsia="Arial" w:hAnsi="Arial"/>
          <w:sz w:val="22"/>
          <w:szCs w:val="22"/>
        </w:rPr>
        <w:t xml:space="preserve">Structural market timing. The EU AI Act enforcement date (August 2026), enterprise agent adoption (29% already in production, 40% projected by year-end), and the governance gap (80% lack mature governance) create simultaneous demand from regulatory, operational, and reputational angles.</w:t>
      </w:r>
    </w:p>
    <w:p>
      <w:pPr>
        <w:pStyle w:val="ListParagraph"/>
        <w:numPr>
          <w:ilvl w:val="0"/>
          <w:numId w:val="3"/>
        </w:numPr>
        <w:spacing w:after="80"/>
      </w:pPr>
      <w:r>
        <w:rPr>
          <w:rFonts w:ascii="Arial" w:cs="Arial" w:eastAsia="Arial" w:hAnsi="Arial"/>
          <w:sz w:val="22"/>
          <w:szCs w:val="22"/>
        </w:rPr>
        <w:t xml:space="preserve">Self-reinforcing economics. Agents that earn accreditation consume evaluation calls (revenue), then consume progression toolkit calls to maintain their grade (more revenue), and need periodic re-accreditation (recurring revenue). The improvement loop is the business model.</w:t>
      </w:r>
    </w:p>
    <w:p>
      <w:pPr>
        <w:pStyle w:val="Heading2"/>
        <w:spacing w:after="200" w:before="300"/>
      </w:pPr>
      <w:r>
        <w:t xml:space="preserve">7.2 Go-to-Market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500"/>
        <w:gridCol w:w="246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Timeline</w:t>
            </w:r>
          </w:p>
        </w:tc>
        <w:tc>
          <w:tcPr>
            <w:tcW w:type="dxa" w:w="4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Action</w:t>
            </w:r>
          </w:p>
        </w:tc>
        <w:tc>
          <w:tcPr>
            <w:tcW w:type="dxa" w:w="2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Revenue Target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 API Self-Serve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Q2 2026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Launch sage-reason, sage-guard, sage-score with Stripe billing. Free tier (1 call/day). Paid tier per-call pricing. Target: agent framework developers via MCP, llms.txt, A2A discovery.</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$0 (validation phase)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 Accreditation MVP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Q3 2026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Launch rolling evaluation window, grade transition engine, public accreditation endpoint. Agent developers can accredit their agents and display the badge.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$1–5K MRR (early adopters)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3. Progression Toolkit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Q3–Q4 2026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Launch 7 progression tools (sage-examine through sage-extend). Self-reinforcing loop: agents that want better grades consume more API calls.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$5–15K MRR (toolkit consumption)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4. Enterprise Outreach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Q4 2026</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Target regulated industries (finance, healthcare) where EU AI Act compliance creates urgent demand. Enterprise licence for self-hosted deployment.</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$15–50K MRR (enterprise contracts)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5. Platform Partnerships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Q1 2027</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Approach agent platforms (Salesforce Agentforce, Microsoft Copilot Studio) for white-label accreditation integration.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Partnership revenue (variable)</w:t>
            </w:r>
          </w:p>
        </w:tc>
      </w:tr>
    </w:tbl>
    <w:p>
      <w:pPr>
        <w:spacing w:after="200"/>
      </w:pPr>
    </w:p>
    <w:p>
      <w:pPr>
        <w:pStyle w:val="Heading2"/>
        <w:spacing w:after="200" w:before="300"/>
      </w:pPr>
      <w:r>
        <w:t xml:space="preserve">7.3 Secondary Revenue: Human Tools + API Marketplace</w:t>
      </w:r>
    </w:p>
    <w:p>
      <w:pPr>
        <w:spacing w:after="120"/>
      </w:pPr>
      <w:r>
        <w:rPr>
          <w:rFonts w:ascii="Arial" w:cs="Arial" w:eastAsia="Arial" w:hAnsi="Arial"/>
          <w:color w:val="000000"/>
          <w:sz w:val="22"/>
          <w:szCs w:val="22"/>
        </w:rPr>
        <w:t xml:space="preserve">The human-facing tools and sage skill marketplace should operate as secondary revenue streams that run with minimal investment alongside the Agent Trust Layer:</w:t>
      </w:r>
    </w:p>
    <w:p>
      <w:pPr>
        <w:pStyle w:val="ListParagraph"/>
        <w:numPr>
          <w:ilvl w:val="0"/>
          <w:numId w:val="2"/>
        </w:numPr>
        <w:spacing w:after="80"/>
      </w:pPr>
      <w:r>
        <w:rPr>
          <w:rFonts w:ascii="Arial" w:cs="Arial" w:eastAsia="Arial" w:hAnsi="Arial"/>
          <w:sz w:val="22"/>
          <w:szCs w:val="22"/>
        </w:rPr>
        <w:t xml:space="preserve">Human-facing tools: Keep the website live. Offer free access to score, journal, and baseline tools. These serve as a demonstration of the Stoic Brain’s capabilities and drive organic SEO traffic. Premium features (55-day journal, full dashboard) behind a $5–10/month subscription once user volume warrants it.</w:t>
      </w:r>
    </w:p>
    <w:p>
      <w:pPr>
        <w:pStyle w:val="ListParagraph"/>
        <w:numPr>
          <w:ilvl w:val="0"/>
          <w:numId w:val="2"/>
        </w:numPr>
        <w:spacing w:after="80"/>
      </w:pPr>
      <w:r>
        <w:rPr>
          <w:rFonts w:ascii="Arial" w:cs="Arial" w:eastAsia="Arial" w:hAnsi="Arial"/>
          <w:sz w:val="22"/>
          <w:szCs w:val="22"/>
        </w:rPr>
        <w:t xml:space="preserve">API marketplace: The sage skills are already built and deployed. Per-call revenue from agent developers contributes margin from day one. No additional investment needed beyond what the Agent Trust Layer requires.</w:t>
      </w:r>
    </w:p>
    <w:p>
      <w:pPr>
        <w:pStyle w:val="Heading2"/>
        <w:spacing w:after="200" w:before="300"/>
      </w:pPr>
      <w:r>
        <w:t xml:space="preserve">7.4 Investment Case Assessment</w:t>
      </w:r>
    </w:p>
    <w:p>
      <w:pPr>
        <w:spacing w:after="120"/>
      </w:pPr>
      <w:r>
        <w:rPr>
          <w:rFonts w:ascii="Arial" w:cs="Arial" w:eastAsia="Arial" w:hAnsi="Arial"/>
          <w:color w:val="000000"/>
          <w:sz w:val="22"/>
          <w:szCs w:val="22"/>
        </w:rPr>
        <w:t xml:space="preserve">The business plan review (P15.5) raised the “why bother” question: do the potential returns justify the upfront investment and ongoing costs? Based on this market analysis:</w:t>
      </w:r>
    </w:p>
    <w:p>
      <w:pPr>
        <w:spacing w:after="120"/>
      </w:pPr>
      <w:r>
        <w:rPr>
          <w:rFonts w:ascii="Arial" w:cs="Arial" w:eastAsia="Arial" w:hAnsi="Arial"/>
          <w:b/>
          <w:bCs/>
          <w:sz w:val="22"/>
          <w:szCs w:val="22"/>
        </w:rPr>
        <w:t xml:space="preserve">What works: </w:t>
      </w:r>
      <w:r>
        <w:rPr>
          <w:rFonts w:ascii="Arial" w:cs="Arial" w:eastAsia="Arial" w:hAnsi="Arial"/>
          <w:sz w:val="22"/>
          <w:szCs w:val="22"/>
        </w:rPr>
        <w:t xml:space="preserve">The Agent Trust Layer enters a large, growing market with no direct competitor, at a moment when regulatory pressure (EU AI Act), enterprise adoption (40% by year-end), and governance gaps (80% immature) create simultaneous demand. The self-reinforcing accreditation loop creates recurring revenue. The moat (philosophical dataset + governance rules) is durable and model-agnostic.</w:t>
      </w:r>
    </w:p>
    <w:p>
      <w:pPr>
        <w:spacing w:after="120"/>
      </w:pPr>
      <w:r>
        <w:rPr>
          <w:rFonts w:ascii="Arial" w:cs="Arial" w:eastAsia="Arial" w:hAnsi="Arial"/>
          <w:b/>
          <w:bCs/>
          <w:sz w:val="22"/>
          <w:szCs w:val="22"/>
        </w:rPr>
        <w:t xml:space="preserve">What needs proving: </w:t>
      </w:r>
      <w:r>
        <w:rPr>
          <w:rFonts w:ascii="Arial" w:cs="Arial" w:eastAsia="Arial" w:hAnsi="Arial"/>
          <w:sz w:val="22"/>
          <w:szCs w:val="22"/>
        </w:rPr>
        <w:t xml:space="preserve">There are no paying customers yet. The concept of “virtue-based agent reasoning” has not been market-tested. Enterprise sales cycles are long for a solo founder. The per-call revenue model requires significant volume before it covers operational costs.</w:t>
      </w:r>
    </w:p>
    <w:p>
      <w:pPr>
        <w:spacing w:after="120"/>
      </w:pPr>
      <w:r>
        <w:rPr>
          <w:rFonts w:ascii="Arial" w:cs="Arial" w:eastAsia="Arial" w:hAnsi="Arial"/>
          <w:b/>
          <w:bCs/>
          <w:sz w:val="22"/>
          <w:szCs w:val="22"/>
        </w:rPr>
        <w:t xml:space="preserve">Honest assessment: </w:t>
      </w:r>
      <w:r>
        <w:rPr>
          <w:rFonts w:ascii="Arial" w:cs="Arial" w:eastAsia="Arial" w:hAnsi="Arial"/>
          <w:sz w:val="22"/>
          <w:szCs w:val="22"/>
        </w:rPr>
        <w:t xml:space="preserve">The investment case is strong conceptually but unvalidated commercially. The recommended strategy (Phase 1: API self-serve) is designed to test commercial demand at minimal incremental cost, since most infrastructure is already built. If Phase 1 generates organic adoption (agents discovering and using the API via MCP/llms.txt), the investment case strengthens considerably. If it does not, the sunk cost is limited because the build work is largely complete.</w:t>
      </w:r>
    </w:p>
    <w:p>
      <w:r>
        <w:br w:type="page"/>
      </w:r>
    </w:p>
    <w:p>
      <w:pPr>
        <w:pStyle w:val="Heading1"/>
        <w:spacing w:after="200" w:before="300"/>
      </w:pPr>
      <w:r>
        <w:t xml:space="preserve">8. 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Severity</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Foundation models incorporate ethical reasoning natively, making SageReasoning redundant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Mythos-era positioning: SageReasoning provides source fidelity, governance guarantees, and audit trails that native reasoning cannot. The compliance infrastructure framing is the defence.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No organic agent discovery (agents don’t find or use SageReasoning’s API)</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MCP server registration, llms.txt, A2A agent card already deployed. Active outreach to framework communities (LangChain, CrewAI). Developer documentation and integration guides.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Solo founder cannot close enterprise deals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Phase 1–3 are self-serve API. Enterprise outreach only begins in Phase 4 after product-market fit is established. Revenue from per-call pricing funds eventual sales capacity.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Consumer Stoic market doesn’t convert to paid users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Human tools are secondary revenue. Low operational cost (Vercel free tier + Supabase free tier). Not dependent on consumer conversion for core business viability.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Regulatory landscape shifts (EU AI Act delayed, AU Privacy Act changes)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LOW</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Compliance pipeline (R14) monitors 20 regulatory obligations with quarterly audits. EU Digital Omnibus may delay high-risk classification by 16 months, but transparency obligations are already effective.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LLM costs increase with Mythos-class models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Phase 13 prompt simplification already reduces per-call costs. Break-even analysis includes Mythos cost scenarios. Model routing (Haiku for routine, Sonnet for complex) optimises spend.</w:t>
            </w:r>
          </w:p>
        </w:tc>
      </w:tr>
    </w:tbl>
    <w:p>
      <w:r>
        <w:br w:type="page"/>
      </w:r>
    </w:p>
    <w:p>
      <w:pPr>
        <w:pStyle w:val="Heading1"/>
        <w:spacing w:after="200" w:before="300"/>
      </w:pPr>
      <w:r>
        <w:t xml:space="preserve">9. Conclusion and Recommended Next Steps</w:t>
      </w:r>
    </w:p>
    <w:p>
      <w:pPr>
        <w:spacing w:after="120"/>
      </w:pPr>
      <w:r>
        <w:rPr>
          <w:rFonts w:ascii="Arial" w:cs="Arial" w:eastAsia="Arial" w:hAnsi="Arial"/>
          <w:color w:val="000000"/>
          <w:sz w:val="22"/>
          <w:szCs w:val="22"/>
        </w:rPr>
        <w:t xml:space="preserve">SageReasoning has built a technically sophisticated product in a market that is structurally ready for it. The Agent Trust Layer is the highest-value, most defensible, and best-timed opportunity. The recommended path forward is:</w:t>
      </w:r>
    </w:p>
    <w:p>
      <w:pPr>
        <w:pStyle w:val="ListParagraph"/>
        <w:numPr>
          <w:ilvl w:val="0"/>
          <w:numId w:val="3"/>
        </w:numPr>
        <w:spacing w:after="80"/>
      </w:pPr>
      <w:r>
        <w:rPr>
          <w:rFonts w:ascii="Arial" w:cs="Arial" w:eastAsia="Arial" w:hAnsi="Arial"/>
          <w:sz w:val="22"/>
          <w:szCs w:val="22"/>
        </w:rPr>
        <w:t xml:space="preserve">Complete Stripe integration and launch API self-serve billing (Phase 1). This is the immediate next step after the V3 scope closure. Minimal new build work; mostly wiring existing infrastructure to payment processing.</w:t>
      </w:r>
    </w:p>
    <w:p>
      <w:pPr>
        <w:pStyle w:val="ListParagraph"/>
        <w:numPr>
          <w:ilvl w:val="0"/>
          <w:numId w:val="3"/>
        </w:numPr>
        <w:spacing w:after="80"/>
      </w:pPr>
      <w:r>
        <w:rPr>
          <w:rFonts w:ascii="Arial" w:cs="Arial" w:eastAsia="Arial" w:hAnsi="Arial"/>
          <w:sz w:val="22"/>
          <w:szCs w:val="22"/>
        </w:rPr>
        <w:t xml:space="preserve">Wire the Agent Trust Layer to the live environment. Run the session bridge migration, connect the accreditation endpoint, and make the rolling evaluation window operational. This transforms the Agent Trust Layer from design documentation to a live product.</w:t>
      </w:r>
    </w:p>
    <w:p>
      <w:pPr>
        <w:pStyle w:val="ListParagraph"/>
        <w:numPr>
          <w:ilvl w:val="0"/>
          <w:numId w:val="3"/>
        </w:numPr>
        <w:spacing w:after="80"/>
      </w:pPr>
      <w:r>
        <w:rPr>
          <w:rFonts w:ascii="Arial" w:cs="Arial" w:eastAsia="Arial" w:hAnsi="Arial"/>
          <w:sz w:val="22"/>
          <w:szCs w:val="22"/>
        </w:rPr>
        <w:t xml:space="preserve">Publish integration guides for LangChain, CrewAI, and AutoGen. Agent developers in these ecosystems are the early adopter segment. They need copy-paste examples showing how to add sage-reason as a tool in their agent workflows.</w:t>
      </w:r>
    </w:p>
    <w:p>
      <w:pPr>
        <w:pStyle w:val="ListParagraph"/>
        <w:numPr>
          <w:ilvl w:val="0"/>
          <w:numId w:val="3"/>
        </w:numPr>
        <w:spacing w:after="80"/>
      </w:pPr>
      <w:r>
        <w:rPr>
          <w:rFonts w:ascii="Arial" w:cs="Arial" w:eastAsia="Arial" w:hAnsi="Arial"/>
          <w:sz w:val="22"/>
          <w:szCs w:val="22"/>
        </w:rPr>
        <w:t xml:space="preserve">Register SageReasoning as an MCP server in the major MCP registries. With 97M+ MCP downloads, this is the highest-leverage discovery channel for agent-consumed APIs.</w:t>
      </w:r>
    </w:p>
    <w:p>
      <w:pPr>
        <w:pStyle w:val="ListParagraph"/>
        <w:numPr>
          <w:ilvl w:val="0"/>
          <w:numId w:val="3"/>
        </w:numPr>
        <w:spacing w:after="80"/>
      </w:pPr>
      <w:r>
        <w:rPr>
          <w:rFonts w:ascii="Arial" w:cs="Arial" w:eastAsia="Arial" w:hAnsi="Arial"/>
          <w:sz w:val="22"/>
          <w:szCs w:val="22"/>
        </w:rPr>
        <w:t xml:space="preserve">Monitor adoption metrics for 90 days. If organic API usage reaches 100+ calls/day from distinct agent developers, proceed to Phase 2 (Accreditation MVP). If not, reassess the go-to-market approach before further investment.</w:t>
      </w:r>
    </w:p>
    <w:p>
      <w:pPr>
        <w:spacing w:after="400"/>
      </w:pPr>
    </w:p>
    <w:p>
      <w:pPr>
        <w:spacing w:after="120"/>
      </w:pPr>
      <w:r>
        <w:rPr>
          <w:rFonts w:ascii="Arial" w:cs="Arial" w:eastAsia="Arial" w:hAnsi="Arial"/>
          <w:color w:val="000000"/>
          <w:sz w:val="22"/>
          <w:szCs w:val="22"/>
        </w:rPr>
        <w:t xml:space="preserve">The strongest business opportunity is clear: the Agent Trust Layer, positioned as compliance infrastructure for autonomous agents, entering a market with no direct competitor, at a moment when regulatory, operational, and reputational pressures converge to create demand. The question is not whether this opportunity exists; it is whether SageReasoning can capture it as a solo-founder operation. The phased strategy above is designed to answer that question at minimal additional cost.</w:t>
      </w:r>
    </w:p>
    <w:p>
      <w:pPr>
        <w:spacing w:after="200"/>
      </w:pPr>
    </w:p>
    <w:p>
      <w:pPr>
        <w:pBdr>
          <w:top w:val="single" w:color="2E8B8B" w:sz="2" w:space="8"/>
        </w:pBdr>
      </w:pPr>
      <w:r>
        <w:rPr>
          <w:rFonts w:ascii="Arial" w:cs="Arial" w:eastAsia="Arial" w:hAnsi="Arial"/>
          <w:i/>
          <w:iCs/>
          <w:color w:val="666666"/>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SageReasoning Pty Ltd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B" w:sz="4" w:space="4"/>
      </w:pBdr>
      <w:tabs>
        <w:tab w:val="right" w:pos="9026"/>
      </w:tabs>
    </w:pPr>
    <w:r>
      <w:rPr>
        <w:rFonts w:ascii="Arial" w:cs="Arial" w:eastAsia="Arial" w:hAnsi="Arial"/>
        <w:b/>
        <w:bCs/>
        <w:color w:val="1B3A5C"/>
        <w:sz w:val="18"/>
        <w:szCs w:val="18"/>
      </w:rPr>
      <w:t xml:space="preserve">SageReasoning</w:t>
    </w:r>
    <w:r>
      <w:rPr>
        <w:rFonts w:ascii="Arial" w:cs="Arial" w:eastAsia="Arial" w:hAnsi="Arial"/>
        <w:color w:val="666666"/>
        <w:sz w:val="18"/>
        <w:szCs w:val="18"/>
      </w:rPr>
      <w:t xml:space="preserve">	Market &amp; Opportunity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B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2026-04-04T11:45:23.621Z</dcterms:created>
  <dcterms:modified xsi:type="dcterms:W3CDTF">2026-04-04T11:45:23.621Z</dcterms:modified>
</cp:coreProperties>
</file>

<file path=docProps/custom.xml><?xml version="1.0" encoding="utf-8"?>
<Properties xmlns="http://schemas.openxmlformats.org/officeDocument/2006/custom-properties" xmlns:vt="http://schemas.openxmlformats.org/officeDocument/2006/docPropsVTypes"/>
</file>