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before="0"/>
      </w:pPr>
    </w:p>
    <w:p>
      <w:pPr>
        <w:spacing w:after="80" w:before="0"/>
        <w:jc w:val="center"/>
      </w:pPr>
      <w:r>
        <w:rPr>
          <w:rFonts w:ascii="Arial" w:cs="Arial" w:eastAsia="Arial" w:hAnsi="Arial"/>
          <w:b/>
          <w:bCs/>
          <w:i w:val="false"/>
          <w:iCs w:val="false"/>
          <w:caps/>
          <w:color w:val="1F3864"/>
          <w:sz w:val="22"/>
          <w:szCs w:val="22"/>
        </w:rPr>
        <w:t xml:space="preserve">DELAWARE COUNTY COMMUNITY COLLEGE</w:t>
      </w:r>
    </w:p>
    <w:p>
      <w:pPr>
        <w:spacing w:after="480" w:before="0"/>
        <w:jc w:val="center"/>
      </w:pPr>
      <w:r>
        <w:rPr>
          <w:rFonts w:ascii="Arial" w:cs="Arial" w:eastAsia="Arial" w:hAnsi="Arial"/>
          <w:b w:val="false"/>
          <w:bCs w:val="false"/>
          <w:i w:val="false"/>
          <w:iCs w:val="false"/>
          <w:caps w:val="false"/>
          <w:color w:val="2E75B6"/>
          <w:sz w:val="20"/>
          <w:szCs w:val="20"/>
        </w:rPr>
        <w:t xml:space="preserve">Legal and Paralegal Studies Program (LGL)</w:t>
      </w:r>
    </w:p>
    <w:p>
      <w:pPr>
        <w:pBdr>
          <w:bottom w:val="single" w:color="C9A227" w:sz="8" w:space="1"/>
        </w:pBdr>
        <w:spacing w:after="120" w:before="60"/>
      </w:pPr>
    </w:p>
    <w:p>
      <w:pPr>
        <w:spacing w:after="100" w:before="280"/>
        <w:jc w:val="center"/>
      </w:pPr>
      <w:r>
        <w:rPr>
          <w:rFonts w:ascii="Arial" w:cs="Arial" w:eastAsia="Arial" w:hAnsi="Arial"/>
          <w:b/>
          <w:bCs/>
          <w:i w:val="false"/>
          <w:iCs w:val="false"/>
          <w:caps/>
          <w:color w:val="1F3864"/>
          <w:sz w:val="36"/>
          <w:szCs w:val="36"/>
        </w:rPr>
        <w:t xml:space="preserve">PRIOR LEARNING ASSESSMENT PORTFOLIO</w:t>
      </w:r>
    </w:p>
    <w:p>
      <w:pPr>
        <w:spacing w:after="60" w:before="0"/>
      </w:pPr>
    </w:p>
    <w:p>
      <w:pPr>
        <w:spacing w:after="280" w:before="0"/>
        <w:jc w:val="center"/>
      </w:pPr>
      <w:r>
        <w:rPr>
          <w:rFonts w:ascii="Arial" w:cs="Arial" w:eastAsia="Arial" w:hAnsi="Arial"/>
          <w:b w:val="false"/>
          <w:bCs w:val="false"/>
          <w:i/>
          <w:iCs/>
          <w:caps w:val="false"/>
          <w:color w:val="595959"/>
          <w:sz w:val="22"/>
          <w:szCs w:val="22"/>
        </w:rPr>
        <w:t xml:space="preserve">Associate in Arts — Legal and Paralegal Studies</w:t>
      </w:r>
    </w:p>
    <w:p>
      <w:pPr>
        <w:pBdr>
          <w:bottom w:val="single" w:color="C9A227" w:sz="8" w:space="1"/>
        </w:pBdr>
        <w:spacing w:after="120" w:before="60"/>
      </w:pPr>
    </w:p>
    <w:p>
      <w:pPr>
        <w:spacing w:after="480" w:before="0"/>
      </w:pPr>
    </w:p>
    <w:tbl>
      <w:tblPr>
        <w:tblW w:type="dxa" w:w="6739"/>
        <w:tblBorders>
          <w:top w:val="single" w:color="auto" w:sz="4"/>
          <w:left w:val="single" w:color="auto" w:sz="4"/>
          <w:bottom w:val="single" w:color="auto" w:sz="4"/>
          <w:right w:val="single" w:color="auto" w:sz="4"/>
          <w:insideH w:val="single" w:color="auto" w:sz="4"/>
          <w:insideV w:val="single" w:color="auto" w:sz="4"/>
        </w:tblBorders>
      </w:tblPr>
      <w:tblGrid>
        <w:gridCol w:w="2700"/>
        <w:gridCol w:w="4039"/>
      </w:tblGrid>
      <w:tr>
        <w:tc>
          <w:tcPr>
            <w:tcW w:type="dxa" w:w="27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FFFFFF"/>
                <w:sz w:val="18"/>
                <w:szCs w:val="18"/>
              </w:rPr>
              <w:t xml:space="preserve">Student Name</w:t>
            </w:r>
          </w:p>
        </w:tc>
        <w:tc>
          <w:tcPr>
            <w:tcW w:type="dxa" w:w="4039"/>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Alexa M. Rossini</w:t>
            </w:r>
          </w:p>
        </w:tc>
      </w:tr>
      <w:tr>
        <w:tc>
          <w:tcPr>
            <w:tcW w:type="dxa" w:w="27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Student ID</w:t>
            </w:r>
          </w:p>
        </w:tc>
        <w:tc>
          <w:tcPr>
            <w:tcW w:type="dxa" w:w="4039"/>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P00721319</w:t>
            </w:r>
          </w:p>
        </w:tc>
      </w:tr>
      <w:tr>
        <w:tc>
          <w:tcPr>
            <w:tcW w:type="dxa" w:w="27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FFFFFF"/>
                <w:sz w:val="18"/>
                <w:szCs w:val="18"/>
              </w:rPr>
              <w:t xml:space="preserve">DCCC Email</w:t>
            </w:r>
          </w:p>
        </w:tc>
        <w:tc>
          <w:tcPr>
            <w:tcW w:type="dxa" w:w="4039"/>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arossini@mail.dccc.edu</w:t>
            </w:r>
          </w:p>
        </w:tc>
      </w:tr>
      <w:tr>
        <w:tc>
          <w:tcPr>
            <w:tcW w:type="dxa" w:w="27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Mailing Address</w:t>
            </w:r>
          </w:p>
        </w:tc>
        <w:tc>
          <w:tcPr>
            <w:tcW w:type="dxa" w:w="4039"/>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521 Jansen Ave, Essington, PA 19029</w:t>
            </w:r>
          </w:p>
        </w:tc>
      </w:tr>
      <w:tr>
        <w:tc>
          <w:tcPr>
            <w:tcW w:type="dxa" w:w="27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FFFFFF"/>
                <w:sz w:val="18"/>
                <w:szCs w:val="18"/>
              </w:rPr>
              <w:t xml:space="preserve">Academic Advisor</w:t>
            </w:r>
          </w:p>
        </w:tc>
        <w:tc>
          <w:tcPr>
            <w:tcW w:type="dxa" w:w="4039"/>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Linda Collier</w:t>
            </w:r>
          </w:p>
        </w:tc>
      </w:tr>
      <w:tr>
        <w:tc>
          <w:tcPr>
            <w:tcW w:type="dxa" w:w="27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Program / Degree</w:t>
            </w:r>
          </w:p>
        </w:tc>
        <w:tc>
          <w:tcPr>
            <w:tcW w:type="dxa" w:w="4039"/>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Legal and Paralegal Studies (LGL) — Associate in Arts</w:t>
            </w:r>
          </w:p>
        </w:tc>
      </w:tr>
      <w:tr>
        <w:tc>
          <w:tcPr>
            <w:tcW w:type="dxa" w:w="27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FFFFFF"/>
                <w:sz w:val="18"/>
                <w:szCs w:val="18"/>
              </w:rPr>
              <w:t xml:space="preserve">Recommended Concentration</w:t>
            </w:r>
          </w:p>
        </w:tc>
        <w:tc>
          <w:tcPr>
            <w:tcW w:type="dxa" w:w="4039"/>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Law and Criminal Justice</w:t>
            </w:r>
          </w:p>
        </w:tc>
      </w:tr>
      <w:tr>
        <w:tc>
          <w:tcPr>
            <w:tcW w:type="dxa" w:w="27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Submission Date</w:t>
            </w:r>
          </w:p>
        </w:tc>
        <w:tc>
          <w:tcPr>
            <w:tcW w:type="dxa" w:w="4039"/>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June 2026</w:t>
            </w:r>
          </w:p>
        </w:tc>
      </w:tr>
    </w:tbl>
    <w:p>
      <w:pPr>
        <w:spacing w:after="360" w:before="0"/>
      </w:pPr>
    </w:p>
    <w:tbl>
      <w:tblPr>
        <w:tblW w:type="dxa" w:w="6739"/>
        <w:tblBorders>
          <w:top w:val="single" w:color="auto" w:sz="4"/>
          <w:left w:val="single" w:color="auto" w:sz="4"/>
          <w:bottom w:val="single" w:color="auto" w:sz="4"/>
          <w:right w:val="single" w:color="auto" w:sz="4"/>
          <w:insideH w:val="single" w:color="auto" w:sz="4"/>
          <w:insideV w:val="single" w:color="auto" w:sz="4"/>
        </w:tblBorders>
      </w:tblPr>
      <w:tblGrid>
        <w:gridCol w:w="3706"/>
        <w:gridCol w:w="3032"/>
      </w:tblGrid>
      <w:tr>
        <w:tc>
          <w:tcPr>
            <w:tcW w:type="dxa" w:w="3706"/>
            <w:tcBorders>
              <w:top w:val="single" w:color="1F6B75" w:sz="4"/>
              <w:left w:val="single" w:color="1F6B75" w:sz="4"/>
              <w:bottom w:val="single" w:color="1F6B75" w:sz="4"/>
              <w:right w:val="single" w:color="1F6B75" w:sz="4"/>
            </w:tcBorders>
            <w:shd w:fill="1F6B75"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TOTAL PLA CREDITS REQUESTED</w:t>
            </w:r>
          </w:p>
        </w:tc>
        <w:tc>
          <w:tcPr>
            <w:tcW w:type="dxa" w:w="3032"/>
            <w:tcBorders>
              <w:top w:val="single" w:color="2E75B6" w:sz="4"/>
              <w:left w:val="single" w:color="2E75B6" w:sz="4"/>
              <w:bottom w:val="single" w:color="2E75B6" w:sz="4"/>
              <w:right w:val="single" w:color="2E75B6" w:sz="4"/>
            </w:tcBorders>
            <w:shd w:fill="2E75B6"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46 Credits</w:t>
            </w:r>
          </w:p>
        </w:tc>
      </w:tr>
      <w:tr>
        <w:tc>
          <w:tcPr>
            <w:tcW w:type="dxa" w:w="3706"/>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LGL Specialty Credits (policy max: 9)</w:t>
            </w:r>
          </w:p>
        </w:tc>
        <w:tc>
          <w:tcPr>
            <w:tcW w:type="dxa" w:w="3032"/>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9 Credits  (LGL 100, 200, 210)</w:t>
            </w:r>
          </w:p>
        </w:tc>
      </w:tr>
      <w:tr>
        <w:tc>
          <w:tcPr>
            <w:tcW w:type="dxa" w:w="3706"/>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Non-Specialty / General Education Credits</w:t>
            </w:r>
          </w:p>
        </w:tc>
        <w:tc>
          <w:tcPr>
            <w:tcW w:type="dxa" w:w="3032"/>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37 Credits  (13 courses × 3 cr each)</w:t>
            </w:r>
          </w:p>
        </w:tc>
      </w:tr>
    </w:tbl>
    <w:p>
      <w:pPr>
        <w:spacing w:after="720" w:before="0"/>
      </w:pPr>
    </w:p>
    <w:p>
      <w:pPr>
        <w:jc w:val="center"/>
      </w:pPr>
      <w:r>
        <w:rPr>
          <w:rFonts w:ascii="Arial" w:cs="Arial" w:eastAsia="Arial" w:hAnsi="Arial"/>
          <w:b w:val="false"/>
          <w:bCs w:val="false"/>
          <w:i/>
          <w:iCs/>
          <w:caps w:val="false"/>
          <w:color w:val="595959"/>
          <w:sz w:val="16"/>
          <w:szCs w:val="16"/>
        </w:rPr>
        <w:t xml:space="preserve">CONFIDENTIAL — FOR DCCC ACADEMIC REVIEW ONLY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60"/>
              <w:left w:type="dxa" w:w="280"/>
              <w:bottom w:type="dxa" w:w="160"/>
              <w:right w:type="dxa" w:w="280"/>
            </w:tcMar>
          </w:tcPr>
          <w:p>
            <w:pPr>
              <w:jc w:val="center"/>
            </w:pPr>
            <w:r>
              <w:rPr>
                <w:rFonts w:ascii="Arial" w:cs="Arial" w:eastAsia="Arial" w:hAnsi="Arial"/>
                <w:b/>
                <w:bCs/>
                <w:i w:val="false"/>
                <w:iCs w:val="false"/>
                <w:caps/>
                <w:color w:val="FFFFFF"/>
                <w:sz w:val="24"/>
                <w:szCs w:val="24"/>
              </w:rPr>
              <w:t xml:space="preserve">Part I: Portfolio Overview and Submission Summary</w:t>
            </w:r>
          </w:p>
        </w:tc>
      </w:tr>
    </w:tbl>
    <w:p>
      <w:pPr>
        <w:spacing w:after="200" w:before="0"/>
      </w:pPr>
    </w:p>
    <w:p>
      <w:pPr>
        <w:pStyle w:val="Heading2"/>
        <w:spacing w:after="120" w:before="220"/>
      </w:pPr>
      <w:r>
        <w:rPr>
          <w:rFonts w:ascii="Arial" w:cs="Arial" w:eastAsia="Arial" w:hAnsi="Arial"/>
          <w:b/>
          <w:bCs/>
          <w:i w:val="false"/>
          <w:iCs w:val="false"/>
          <w:caps w:val="false"/>
          <w:color w:val="1F3864"/>
          <w:sz w:val="26"/>
          <w:szCs w:val="26"/>
        </w:rPr>
        <w:t xml:space="preserve">Section 1.1 — About This Portfolio</w:t>
      </w:r>
    </w:p>
    <w:p>
      <w:pPr>
        <w:pBdr>
          <w:bottom w:val="single" w:color="2E75B6" w:sz="8" w:space="1"/>
        </w:pBdr>
        <w:spacing w:after="120" w:before="60"/>
      </w:pPr>
    </w:p>
    <w:p>
      <w:pPr>
        <w:spacing w:after="120" w:before="80" w:line="276"/>
        <w:jc w:val="left"/>
      </w:pPr>
      <w:r>
        <w:rPr>
          <w:rFonts w:ascii="Arial" w:cs="Arial" w:eastAsia="Arial" w:hAnsi="Arial"/>
          <w:b w:val="false"/>
          <w:bCs w:val="false"/>
          <w:i w:val="false"/>
          <w:iCs w:val="false"/>
          <w:caps w:val="false"/>
          <w:color w:val="333333"/>
          <w:sz w:val="20"/>
          <w:szCs w:val="20"/>
        </w:rPr>
        <w:t xml:space="preserve">My name is Alexa M. Rossini. I am enrolled in the Legal and Paralegal Studies (LGL) Associate in Arts program at Delaware County Community College, Student ID P00721319, advised by Linda Collier. I am submitting this Prior Learning Assessment portfolio to request credit for college-level learning I have acquired outside of formal classroom instruction through more than a decade of active pro se litigation, federal civil rights research, family court proceedings, education law advocacy, technology and software development, cybersecurity training, and small business ownership.</w:t>
      </w:r>
    </w:p>
    <w:p>
      <w:pPr>
        <w:spacing w:after="120" w:before="80" w:line="276"/>
        <w:jc w:val="left"/>
      </w:pPr>
      <w:r>
        <w:rPr>
          <w:rFonts w:ascii="Arial" w:cs="Arial" w:eastAsia="Arial" w:hAnsi="Arial"/>
          <w:b w:val="false"/>
          <w:bCs w:val="false"/>
          <w:i w:val="false"/>
          <w:iCs w:val="false"/>
          <w:caps w:val="false"/>
          <w:color w:val="333333"/>
          <w:sz w:val="20"/>
          <w:szCs w:val="20"/>
        </w:rPr>
        <w:t xml:space="preserve">This is not a request for credit based on general life experience. Every credit claim in this portfolio is grounded in specific, demonstrable, documented competencies that align precisely with published DCCC course learning outcomes. I have organized each claim with a learning outcomes matrix, a first-person competency narrative, a documentary evidence inventory, and a self-assessment rubric — because I understand that extraordinary claims require extraordinary evidence, and I intend to provide it.</w:t>
      </w:r>
    </w:p>
    <w:p>
      <w:pPr>
        <w:spacing w:after="120" w:before="80" w:line="276"/>
        <w:jc w:val="left"/>
      </w:pPr>
      <w:r>
        <w:rPr>
          <w:rFonts w:ascii="Arial" w:cs="Arial" w:eastAsia="Arial" w:hAnsi="Arial"/>
          <w:b w:val="false"/>
          <w:bCs w:val="false"/>
          <w:i w:val="false"/>
          <w:iCs w:val="false"/>
          <w:caps w:val="false"/>
          <w:color w:val="333333"/>
          <w:sz w:val="20"/>
          <w:szCs w:val="20"/>
        </w:rPr>
        <w:t xml:space="preserve">My background is unusual: I am simultaneously a pro se federal civil rights plaintiff, an active state court litigant, a paralegal studies student, a software developer, a Google-certified cybersecurity practitioner, the founder of a registered legal technology company (Legalitize), and a solo LLC member (Shuda Enterprises LLC, EIN 39-2133642). Each of these roles has produced college-level learning that I can demonstrate with precision.</w:t>
      </w:r>
    </w:p>
    <w:p>
      <w:pPr>
        <w:spacing w:after="120" w:before="0"/>
      </w:pPr>
    </w:p>
    <w:p>
      <w:pPr>
        <w:pStyle w:val="Heading2"/>
        <w:spacing w:after="120" w:before="220"/>
      </w:pPr>
      <w:r>
        <w:rPr>
          <w:rFonts w:ascii="Arial" w:cs="Arial" w:eastAsia="Arial" w:hAnsi="Arial"/>
          <w:b/>
          <w:bCs/>
          <w:i w:val="false"/>
          <w:iCs w:val="false"/>
          <w:caps w:val="false"/>
          <w:color w:val="1F3864"/>
          <w:sz w:val="26"/>
          <w:szCs w:val="26"/>
        </w:rPr>
        <w:t xml:space="preserve">Section 1.2 — My Academic and Professional Goal Statement</w:t>
      </w:r>
    </w:p>
    <w:p>
      <w:pPr>
        <w:pBdr>
          <w:bottom w:val="single" w:color="2E75B6" w:sz="8" w:space="1"/>
        </w:pBdr>
        <w:spacing w:after="120" w:before="60"/>
      </w:pPr>
    </w:p>
    <w:p>
      <w:pPr>
        <w:spacing w:after="120" w:before="80" w:line="276"/>
        <w:jc w:val="left"/>
      </w:pPr>
      <w:r>
        <w:rPr>
          <w:rFonts w:ascii="Arial" w:cs="Arial" w:eastAsia="Arial" w:hAnsi="Arial"/>
          <w:b w:val="false"/>
          <w:bCs w:val="false"/>
          <w:i w:val="false"/>
          <w:iCs w:val="false"/>
          <w:caps w:val="false"/>
          <w:color w:val="333333"/>
          <w:sz w:val="20"/>
          <w:szCs w:val="20"/>
        </w:rPr>
        <w:t xml:space="preserve">My immediate objective is to complete the LGL Associate in Arts degree as efficiently as possible, then transfer to a four-year program in law or paralegal studies. I have been doing the work of a legal professional — research, drafting, procedural compliance, evidence management, and courtroom preparation — for years without formal credit for that learning. This portfolio is my evidence that the learning happened, that it was deep, and that it directly maps to what DCCC teaches.</w:t>
      </w:r>
    </w:p>
    <w:p>
      <w:pPr>
        <w:spacing w:after="120" w:before="80" w:line="276"/>
        <w:jc w:val="left"/>
      </w:pPr>
      <w:r>
        <w:rPr>
          <w:rFonts w:ascii="Arial" w:cs="Arial" w:eastAsia="Arial" w:hAnsi="Arial"/>
          <w:b w:val="false"/>
          <w:bCs w:val="false"/>
          <w:i w:val="false"/>
          <w:iCs w:val="false"/>
          <w:caps w:val="false"/>
          <w:color w:val="333333"/>
          <w:sz w:val="20"/>
          <w:szCs w:val="20"/>
        </w:rPr>
        <w:t xml:space="preserve">I have no interest in shortcuts. I intend to take every required course that cannot be covered by PLA, and I will excel in them. But I should not be required to sit through introductory instruction in material I have already mastered at a professional level. The PLA process exists precisely for people like me, and I am using it correctly.</w:t>
      </w:r>
    </w:p>
    <w:p>
      <w:pPr>
        <w:spacing w:after="120" w:before="0"/>
      </w:pPr>
    </w:p>
    <w:p>
      <w:pPr>
        <w:pStyle w:val="Heading2"/>
        <w:spacing w:after="120" w:before="220"/>
      </w:pPr>
      <w:r>
        <w:rPr>
          <w:rFonts w:ascii="Arial" w:cs="Arial" w:eastAsia="Arial" w:hAnsi="Arial"/>
          <w:b/>
          <w:bCs/>
          <w:i w:val="false"/>
          <w:iCs w:val="false"/>
          <w:caps w:val="false"/>
          <w:color w:val="1F3864"/>
          <w:sz w:val="26"/>
          <w:szCs w:val="26"/>
        </w:rPr>
        <w:t xml:space="preserve">Section 1.3 — DCCC PLA Policy Compliance</w:t>
      </w:r>
    </w:p>
    <w:p>
      <w:pPr>
        <w:pBdr>
          <w:bottom w:val="single" w:color="2E75B6" w:sz="8" w:space="1"/>
        </w:pBdr>
        <w:spacing w:after="120" w:before="60"/>
      </w:pPr>
    </w:p>
    <w:p>
      <w:pPr>
        <w:spacing w:after="120" w:before="80" w:line="276"/>
        <w:jc w:val="left"/>
      </w:pPr>
      <w:r>
        <w:rPr>
          <w:rFonts w:ascii="Arial" w:cs="Arial" w:eastAsia="Arial" w:hAnsi="Arial"/>
          <w:b w:val="false"/>
          <w:bCs w:val="false"/>
          <w:i w:val="false"/>
          <w:iCs w:val="false"/>
          <w:caps w:val="false"/>
          <w:color w:val="333333"/>
          <w:sz w:val="20"/>
          <w:szCs w:val="20"/>
        </w:rPr>
        <w:t xml:space="preserve">I acknowledge the following DCCC LGL program PLA policy limitations and confirm my full compliance: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Policy Provision</w:t>
            </w:r>
          </w:p>
        </w:tc>
        <w:tc>
          <w:tcPr>
            <w:tcW w:type="dxa" w:w="5160"/>
            <w:tcBorders>
              <w:top w:val="single" w:color="1F6B75" w:sz="4"/>
              <w:left w:val="single" w:color="1F6B75" w:sz="4"/>
              <w:bottom w:val="single" w:color="1F6B75" w:sz="4"/>
              <w:right w:val="single" w:color="1F6B75" w:sz="4"/>
            </w:tcBorders>
            <w:shd w:fill="1F6B75"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My Compliance</w:t>
            </w:r>
          </w:p>
        </w:tc>
      </w:tr>
      <w:tr>
        <w:tc>
          <w:tcPr>
            <w:tcW w:type="dxa" w:w="42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No more than nine (9) LGL specialty credits may be awarded via PLA portfolio or exam.</w:t>
            </w:r>
          </w:p>
        </w:tc>
        <w:tc>
          <w:tcPr>
            <w:tcW w:type="dxa" w:w="51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request exactly 9 LGL specialty credits: LGL 100, LGL 200, and LGL 210 — three courses at 3 credits each.</w:t>
            </w:r>
          </w:p>
        </w:tc>
      </w:tr>
      <w:tr>
        <w:tc>
          <w:tcPr>
            <w:tcW w:type="dxa" w:w="42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Students must complete at least nine (9) LGL specialty credits through traditional DCCC instruction.</w:t>
            </w:r>
          </w:p>
        </w:tc>
        <w:tc>
          <w:tcPr>
            <w:tcW w:type="dxa" w:w="51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will enroll in LGL 110, 120, 130, 140, 211, 240, 246, and 199/197 through DCCC instruction.</w:t>
            </w:r>
          </w:p>
        </w:tc>
      </w:tr>
      <w:tr>
        <w:tc>
          <w:tcPr>
            <w:tcW w:type="dxa" w:w="42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Minimum 24 credits must be earned at DCCC.</w:t>
            </w:r>
          </w:p>
        </w:tc>
        <w:tc>
          <w:tcPr>
            <w:tcW w:type="dxa" w:w="51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With 46 PLA credits and 61 total credits required, I will complete at least 15 credits through DCCC — I will supplement with additional DCCC coursework to satisfy the 24-credit residency requirement.</w:t>
            </w:r>
          </w:p>
        </w:tc>
      </w:tr>
    </w:tbl>
    <w:p>
      <w:pPr>
        <w:spacing w:after="120" w:before="0"/>
      </w:pPr>
    </w:p>
    <w:p>
      <w:pPr>
        <w:pStyle w:val="Heading2"/>
        <w:spacing w:after="120" w:before="220"/>
      </w:pPr>
      <w:r>
        <w:rPr>
          <w:rFonts w:ascii="Arial" w:cs="Arial" w:eastAsia="Arial" w:hAnsi="Arial"/>
          <w:b/>
          <w:bCs/>
          <w:i w:val="false"/>
          <w:iCs w:val="false"/>
          <w:caps w:val="false"/>
          <w:color w:val="1F3864"/>
          <w:sz w:val="26"/>
          <w:szCs w:val="26"/>
        </w:rPr>
        <w:t xml:space="preserve">Section 1.4 — Complete Summary of My PLA Credit Claims</w:t>
      </w:r>
    </w:p>
    <w:p>
      <w:pPr>
        <w:pBdr>
          <w:bottom w:val="single" w:color="2E75B6" w:sz="8" w:space="1"/>
        </w:pBdr>
        <w:spacing w:after="1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200"/>
        <w:gridCol w:w="600"/>
        <w:gridCol w:w="3000"/>
        <w:gridCol w:w="1460"/>
      </w:tblGrid>
      <w:tr>
        <w:trPr>
          <w:tblHeader/>
        </w:trPr>
        <w:tc>
          <w:tcPr>
            <w:tcW w:type="dxa" w:w="11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Course</w:t>
            </w:r>
          </w:p>
        </w:tc>
        <w:tc>
          <w:tcPr>
            <w:tcW w:type="dxa" w:w="32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Title</w:t>
            </w:r>
          </w:p>
        </w:tc>
        <w:tc>
          <w:tcPr>
            <w:tcW w:type="dxa" w:w="6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Cr.</w:t>
            </w:r>
          </w:p>
        </w:tc>
        <w:tc>
          <w:tcPr>
            <w:tcW w:type="dxa" w:w="30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Primary Experience Basis</w:t>
            </w:r>
          </w:p>
        </w:tc>
        <w:tc>
          <w:tcPr>
            <w:tcW w:type="dxa" w:w="14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Category</w:t>
            </w:r>
          </w:p>
        </w:tc>
      </w:tr>
      <w:tr>
        <w:tc>
          <w:tcPr>
            <w:tcW w:type="dxa" w:w="11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LGL 100</w:t>
            </w:r>
          </w:p>
        </w:tc>
        <w:tc>
          <w:tcPr>
            <w:tcW w:type="dxa" w:w="32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Introduction to Legal and Paralegal Studies</w:t>
            </w:r>
          </w:p>
        </w:tc>
        <w:tc>
          <w:tcPr>
            <w:tcW w:type="dxa" w:w="6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center"/>
            </w:pPr>
            <w:r>
              <w:rPr>
                <w:rFonts w:ascii="Arial" w:cs="Arial" w:eastAsia="Arial" w:hAnsi="Arial"/>
                <w:b w:val="false"/>
                <w:bCs w:val="false"/>
                <w:i w:val="false"/>
                <w:iCs w:val="false"/>
                <w:caps w:val="false"/>
                <w:color w:val="333333"/>
                <w:sz w:val="18"/>
                <w:szCs w:val="18"/>
              </w:rPr>
              <w:t xml:space="preserve">3</w:t>
            </w:r>
          </w:p>
        </w:tc>
        <w:tc>
          <w:tcPr>
            <w:tcW w:type="dxa" w:w="30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10+ years pro se litigation; federal and state court; constitutional research</w:t>
            </w:r>
          </w:p>
        </w:tc>
        <w:tc>
          <w:tcPr>
            <w:tcW w:type="dxa" w:w="146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LGL Specialty</w:t>
            </w:r>
          </w:p>
        </w:tc>
      </w:tr>
      <w:tr>
        <w:tc>
          <w:tcPr>
            <w:tcW w:type="dxa" w:w="11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LGL 200</w:t>
            </w:r>
          </w:p>
        </w:tc>
        <w:tc>
          <w:tcPr>
            <w:tcW w:type="dxa" w:w="32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Family Law</w:t>
            </w:r>
          </w:p>
        </w:tc>
        <w:tc>
          <w:tcPr>
            <w:tcW w:type="dxa" w:w="6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center"/>
            </w:pPr>
            <w:r>
              <w:rPr>
                <w:rFonts w:ascii="Arial" w:cs="Arial" w:eastAsia="Arial" w:hAnsi="Arial"/>
                <w:b w:val="false"/>
                <w:bCs w:val="false"/>
                <w:i w:val="false"/>
                <w:iCs w:val="false"/>
                <w:caps w:val="false"/>
                <w:color w:val="333333"/>
                <w:sz w:val="18"/>
                <w:szCs w:val="18"/>
              </w:rPr>
              <w:t xml:space="preserve">3</w:t>
            </w:r>
          </w:p>
        </w:tc>
        <w:tc>
          <w:tcPr>
            <w:tcW w:type="dxa" w:w="30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Active Delaware County CCP custody litigation; relocation; § 5337; § 5328</w:t>
            </w:r>
          </w:p>
        </w:tc>
        <w:tc>
          <w:tcPr>
            <w:tcW w:type="dxa" w:w="146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LGL Specialty</w:t>
            </w:r>
          </w:p>
        </w:tc>
      </w:tr>
      <w:tr>
        <w:tc>
          <w:tcPr>
            <w:tcW w:type="dxa" w:w="11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LGL 210</w:t>
            </w:r>
          </w:p>
        </w:tc>
        <w:tc>
          <w:tcPr>
            <w:tcW w:type="dxa" w:w="32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Civil Litigation and Tort Principles</w:t>
            </w:r>
          </w:p>
        </w:tc>
        <w:tc>
          <w:tcPr>
            <w:tcW w:type="dxa" w:w="6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center"/>
            </w:pPr>
            <w:r>
              <w:rPr>
                <w:rFonts w:ascii="Arial" w:cs="Arial" w:eastAsia="Arial" w:hAnsi="Arial"/>
                <w:b w:val="false"/>
                <w:bCs w:val="false"/>
                <w:i w:val="false"/>
                <w:iCs w:val="false"/>
                <w:caps w:val="false"/>
                <w:color w:val="333333"/>
                <w:sz w:val="18"/>
                <w:szCs w:val="18"/>
              </w:rPr>
              <w:t xml:space="preserve">3</w:t>
            </w:r>
          </w:p>
        </w:tc>
        <w:tc>
          <w:tcPr>
            <w:tcW w:type="dxa" w:w="30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42 U.S.C. § 1983 federal civil rights complaint; FRCP; constitutional tort</w:t>
            </w:r>
          </w:p>
        </w:tc>
        <w:tc>
          <w:tcPr>
            <w:tcW w:type="dxa" w:w="146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LGL Specialty</w:t>
            </w:r>
          </w:p>
        </w:tc>
      </w:tr>
      <w:tr>
        <w:tc>
          <w:tcPr>
            <w:tcW w:type="dxa" w:w="11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ENG 100</w:t>
            </w:r>
          </w:p>
        </w:tc>
        <w:tc>
          <w:tcPr>
            <w:tcW w:type="dxa" w:w="32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English Composition I</w:t>
            </w:r>
          </w:p>
        </w:tc>
        <w:tc>
          <w:tcPr>
            <w:tcW w:type="dxa" w:w="6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center"/>
            </w:pPr>
            <w:r>
              <w:rPr>
                <w:rFonts w:ascii="Arial" w:cs="Arial" w:eastAsia="Arial" w:hAnsi="Arial"/>
                <w:b w:val="false"/>
                <w:bCs w:val="false"/>
                <w:i w:val="false"/>
                <w:iCs w:val="false"/>
                <w:caps w:val="false"/>
                <w:color w:val="333333"/>
                <w:sz w:val="18"/>
                <w:szCs w:val="18"/>
              </w:rPr>
              <w:t xml:space="preserve">3</w:t>
            </w:r>
          </w:p>
        </w:tc>
        <w:tc>
          <w:tcPr>
            <w:tcW w:type="dxa" w:w="30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Legal memoranda; RTKL requests; federal complaint drafting; AmeriCorps reporting</w:t>
            </w:r>
          </w:p>
        </w:tc>
        <w:tc>
          <w:tcPr>
            <w:tcW w:type="dxa" w:w="14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Gen Ed</w:t>
            </w:r>
          </w:p>
        </w:tc>
      </w:tr>
      <w:tr>
        <w:tc>
          <w:tcPr>
            <w:tcW w:type="dxa" w:w="11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ENG 112</w:t>
            </w:r>
          </w:p>
        </w:tc>
        <w:tc>
          <w:tcPr>
            <w:tcW w:type="dxa" w:w="32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Writing About Literature</w:t>
            </w:r>
          </w:p>
        </w:tc>
        <w:tc>
          <w:tcPr>
            <w:tcW w:type="dxa" w:w="6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center"/>
            </w:pPr>
            <w:r>
              <w:rPr>
                <w:rFonts w:ascii="Arial" w:cs="Arial" w:eastAsia="Arial" w:hAnsi="Arial"/>
                <w:b w:val="false"/>
                <w:bCs w:val="false"/>
                <w:i w:val="false"/>
                <w:iCs w:val="false"/>
                <w:caps w:val="false"/>
                <w:color w:val="333333"/>
                <w:sz w:val="18"/>
                <w:szCs w:val="18"/>
              </w:rPr>
              <w:t xml:space="preserve">3</w:t>
            </w:r>
          </w:p>
        </w:tc>
        <w:tc>
          <w:tcPr>
            <w:tcW w:type="dxa" w:w="30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Case law analysis; statutory interpretation; persuasive legal writing; software documentation</w:t>
            </w:r>
          </w:p>
        </w:tc>
        <w:tc>
          <w:tcPr>
            <w:tcW w:type="dxa" w:w="14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Gen Ed</w:t>
            </w:r>
          </w:p>
        </w:tc>
      </w:tr>
      <w:tr>
        <w:tc>
          <w:tcPr>
            <w:tcW w:type="dxa" w:w="11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ADJ 241</w:t>
            </w:r>
          </w:p>
        </w:tc>
        <w:tc>
          <w:tcPr>
            <w:tcW w:type="dxa" w:w="32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Criminal Law, Procedure &amp; Adjudication</w:t>
            </w:r>
          </w:p>
        </w:tc>
        <w:tc>
          <w:tcPr>
            <w:tcW w:type="dxa" w:w="6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center"/>
            </w:pPr>
            <w:r>
              <w:rPr>
                <w:rFonts w:ascii="Arial" w:cs="Arial" w:eastAsia="Arial" w:hAnsi="Arial"/>
                <w:b w:val="false"/>
                <w:bCs w:val="false"/>
                <w:i w:val="false"/>
                <w:iCs w:val="false"/>
                <w:caps w:val="false"/>
                <w:color w:val="333333"/>
                <w:sz w:val="18"/>
                <w:szCs w:val="18"/>
              </w:rPr>
              <w:t xml:space="preserve">3</w:t>
            </w:r>
          </w:p>
        </w:tc>
        <w:tc>
          <w:tcPr>
            <w:tcW w:type="dxa" w:w="30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Criminal procedure research across Philadelphia, Montgomery County, and Hatboro PD matters</w:t>
            </w:r>
          </w:p>
        </w:tc>
        <w:tc>
          <w:tcPr>
            <w:tcW w:type="dxa" w:w="14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Gen Ed / DJ</w:t>
            </w:r>
          </w:p>
        </w:tc>
      </w:tr>
      <w:tr>
        <w:tc>
          <w:tcPr>
            <w:tcW w:type="dxa" w:w="11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ADJ 101</w:t>
            </w:r>
          </w:p>
        </w:tc>
        <w:tc>
          <w:tcPr>
            <w:tcW w:type="dxa" w:w="32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Introduction to Criminal Justice</w:t>
            </w:r>
          </w:p>
        </w:tc>
        <w:tc>
          <w:tcPr>
            <w:tcW w:type="dxa" w:w="6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center"/>
            </w:pPr>
            <w:r>
              <w:rPr>
                <w:rFonts w:ascii="Arial" w:cs="Arial" w:eastAsia="Arial" w:hAnsi="Arial"/>
                <w:b w:val="false"/>
                <w:bCs w:val="false"/>
                <w:i w:val="false"/>
                <w:iCs w:val="false"/>
                <w:caps w:val="false"/>
                <w:color w:val="333333"/>
                <w:sz w:val="18"/>
                <w:szCs w:val="18"/>
              </w:rPr>
              <w:t xml:space="preserve">3</w:t>
            </w:r>
          </w:p>
        </w:tc>
        <w:tc>
          <w:tcPr>
            <w:tcW w:type="dxa" w:w="30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Sustained engagement with all components of the CJ system through litigation and research</w:t>
            </w:r>
          </w:p>
        </w:tc>
        <w:tc>
          <w:tcPr>
            <w:tcW w:type="dxa" w:w="14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Gen Ed / Conc.</w:t>
            </w:r>
          </w:p>
        </w:tc>
      </w:tr>
      <w:tr>
        <w:tc>
          <w:tcPr>
            <w:tcW w:type="dxa" w:w="11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ADJ 225</w:t>
            </w:r>
          </w:p>
        </w:tc>
        <w:tc>
          <w:tcPr>
            <w:tcW w:type="dxa" w:w="32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Ethics in Criminal Justice</w:t>
            </w:r>
          </w:p>
        </w:tc>
        <w:tc>
          <w:tcPr>
            <w:tcW w:type="dxa" w:w="6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center"/>
            </w:pPr>
            <w:r>
              <w:rPr>
                <w:rFonts w:ascii="Arial" w:cs="Arial" w:eastAsia="Arial" w:hAnsi="Arial"/>
                <w:b w:val="false"/>
                <w:bCs w:val="false"/>
                <w:i w:val="false"/>
                <w:iCs w:val="false"/>
                <w:caps w:val="false"/>
                <w:color w:val="333333"/>
                <w:sz w:val="18"/>
                <w:szCs w:val="18"/>
              </w:rPr>
              <w:t xml:space="preserve">3</w:t>
            </w:r>
          </w:p>
        </w:tc>
        <w:tc>
          <w:tcPr>
            <w:tcW w:type="dxa" w:w="30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Police conduct analysis; Pa.R.P.C.; § 1983 ethics framework; Monell policy analysis</w:t>
            </w:r>
          </w:p>
        </w:tc>
        <w:tc>
          <w:tcPr>
            <w:tcW w:type="dxa" w:w="14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Gen Ed / Conc.</w:t>
            </w:r>
          </w:p>
        </w:tc>
      </w:tr>
      <w:tr>
        <w:tc>
          <w:tcPr>
            <w:tcW w:type="dxa" w:w="11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PHI 100</w:t>
            </w:r>
          </w:p>
        </w:tc>
        <w:tc>
          <w:tcPr>
            <w:tcW w:type="dxa" w:w="32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Introduction to Philosophy</w:t>
            </w:r>
          </w:p>
        </w:tc>
        <w:tc>
          <w:tcPr>
            <w:tcW w:type="dxa" w:w="6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center"/>
            </w:pPr>
            <w:r>
              <w:rPr>
                <w:rFonts w:ascii="Arial" w:cs="Arial" w:eastAsia="Arial" w:hAnsi="Arial"/>
                <w:b w:val="false"/>
                <w:bCs w:val="false"/>
                <w:i w:val="false"/>
                <w:iCs w:val="false"/>
                <w:caps w:val="false"/>
                <w:color w:val="333333"/>
                <w:sz w:val="18"/>
                <w:szCs w:val="18"/>
              </w:rPr>
              <w:t xml:space="preserve">3</w:t>
            </w:r>
          </w:p>
        </w:tc>
        <w:tc>
          <w:tcPr>
            <w:tcW w:type="dxa" w:w="30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Constitutional theory; legal ethics; civil rights philosophical framework; GU-designated</w:t>
            </w:r>
          </w:p>
        </w:tc>
        <w:tc>
          <w:tcPr>
            <w:tcW w:type="dxa" w:w="14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Gen Ed / GU</w:t>
            </w:r>
          </w:p>
        </w:tc>
      </w:tr>
      <w:tr>
        <w:tc>
          <w:tcPr>
            <w:tcW w:type="dxa" w:w="11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PSY 100</w:t>
            </w:r>
          </w:p>
        </w:tc>
        <w:tc>
          <w:tcPr>
            <w:tcW w:type="dxa" w:w="32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General Psychology</w:t>
            </w:r>
          </w:p>
        </w:tc>
        <w:tc>
          <w:tcPr>
            <w:tcW w:type="dxa" w:w="6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center"/>
            </w:pPr>
            <w:r>
              <w:rPr>
                <w:rFonts w:ascii="Arial" w:cs="Arial" w:eastAsia="Arial" w:hAnsi="Arial"/>
                <w:b w:val="false"/>
                <w:bCs w:val="false"/>
                <w:i w:val="false"/>
                <w:iCs w:val="false"/>
                <w:caps w:val="false"/>
                <w:color w:val="333333"/>
                <w:sz w:val="18"/>
                <w:szCs w:val="18"/>
              </w:rPr>
              <w:t xml:space="preserve">3</w:t>
            </w:r>
          </w:p>
        </w:tc>
        <w:tc>
          <w:tcPr>
            <w:tcW w:type="dxa" w:w="30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Custody § 5328 psychological factors; IDEA/disability advocacy; child development; trauma</w:t>
            </w:r>
          </w:p>
        </w:tc>
        <w:tc>
          <w:tcPr>
            <w:tcW w:type="dxa" w:w="14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Gen Ed</w:t>
            </w:r>
          </w:p>
        </w:tc>
      </w:tr>
      <w:tr>
        <w:tc>
          <w:tcPr>
            <w:tcW w:type="dxa" w:w="11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SOC 101</w:t>
            </w:r>
          </w:p>
        </w:tc>
        <w:tc>
          <w:tcPr>
            <w:tcW w:type="dxa" w:w="32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Introduction to Sociology</w:t>
            </w:r>
          </w:p>
        </w:tc>
        <w:tc>
          <w:tcPr>
            <w:tcW w:type="dxa" w:w="6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center"/>
            </w:pPr>
            <w:r>
              <w:rPr>
                <w:rFonts w:ascii="Arial" w:cs="Arial" w:eastAsia="Arial" w:hAnsi="Arial"/>
                <w:b w:val="false"/>
                <w:bCs w:val="false"/>
                <w:i w:val="false"/>
                <w:iCs w:val="false"/>
                <w:caps w:val="false"/>
                <w:color w:val="333333"/>
                <w:sz w:val="18"/>
                <w:szCs w:val="18"/>
              </w:rPr>
              <w:t xml:space="preserve">3</w:t>
            </w:r>
          </w:p>
        </w:tc>
        <w:tc>
          <w:tcPr>
            <w:tcW w:type="dxa" w:w="30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Monell systemic policy theory; institutional civil rights analysis; AmeriCorps community development</w:t>
            </w:r>
          </w:p>
        </w:tc>
        <w:tc>
          <w:tcPr>
            <w:tcW w:type="dxa" w:w="14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Gen Ed</w:t>
            </w:r>
          </w:p>
        </w:tc>
      </w:tr>
      <w:tr>
        <w:tc>
          <w:tcPr>
            <w:tcW w:type="dxa" w:w="11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BUS 100</w:t>
            </w:r>
          </w:p>
        </w:tc>
        <w:tc>
          <w:tcPr>
            <w:tcW w:type="dxa" w:w="32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Introduction to Business</w:t>
            </w:r>
          </w:p>
        </w:tc>
        <w:tc>
          <w:tcPr>
            <w:tcW w:type="dxa" w:w="6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center"/>
            </w:pPr>
            <w:r>
              <w:rPr>
                <w:rFonts w:ascii="Arial" w:cs="Arial" w:eastAsia="Arial" w:hAnsi="Arial"/>
                <w:b w:val="false"/>
                <w:bCs w:val="false"/>
                <w:i w:val="false"/>
                <w:iCs w:val="false"/>
                <w:caps w:val="false"/>
                <w:color w:val="333333"/>
                <w:sz w:val="18"/>
                <w:szCs w:val="18"/>
              </w:rPr>
              <w:t xml:space="preserve">3</w:t>
            </w:r>
          </w:p>
        </w:tc>
        <w:tc>
          <w:tcPr>
            <w:tcW w:type="dxa" w:w="30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Shuda Enterprises LLC; Legalitize legal tech startup; business operations and planning</w:t>
            </w:r>
          </w:p>
        </w:tc>
        <w:tc>
          <w:tcPr>
            <w:tcW w:type="dxa" w:w="14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Gen Ed</w:t>
            </w:r>
          </w:p>
        </w:tc>
      </w:tr>
      <w:tr>
        <w:tc>
          <w:tcPr>
            <w:tcW w:type="dxa" w:w="11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BUS 104</w:t>
            </w:r>
          </w:p>
        </w:tc>
        <w:tc>
          <w:tcPr>
            <w:tcW w:type="dxa" w:w="32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Business Law</w:t>
            </w:r>
          </w:p>
        </w:tc>
        <w:tc>
          <w:tcPr>
            <w:tcW w:type="dxa" w:w="6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center"/>
            </w:pPr>
            <w:r>
              <w:rPr>
                <w:rFonts w:ascii="Arial" w:cs="Arial" w:eastAsia="Arial" w:hAnsi="Arial"/>
                <w:b w:val="false"/>
                <w:bCs w:val="false"/>
                <w:i w:val="false"/>
                <w:iCs w:val="false"/>
                <w:caps w:val="false"/>
                <w:color w:val="333333"/>
                <w:sz w:val="18"/>
                <w:szCs w:val="18"/>
              </w:rPr>
              <w:t xml:space="preserve">3</w:t>
            </w:r>
          </w:p>
        </w:tc>
        <w:tc>
          <w:tcPr>
            <w:tcW w:type="dxa" w:w="30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LLC formation and governance; contract formation; business entity legal obligations; EIN</w:t>
            </w:r>
          </w:p>
        </w:tc>
        <w:tc>
          <w:tcPr>
            <w:tcW w:type="dxa" w:w="14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Gen Ed / QR</w:t>
            </w:r>
          </w:p>
        </w:tc>
      </w:tr>
      <w:tr>
        <w:tc>
          <w:tcPr>
            <w:tcW w:type="dxa" w:w="11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SPC 101</w:t>
            </w:r>
          </w:p>
        </w:tc>
        <w:tc>
          <w:tcPr>
            <w:tcW w:type="dxa" w:w="32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Oral Communication</w:t>
            </w:r>
          </w:p>
        </w:tc>
        <w:tc>
          <w:tcPr>
            <w:tcW w:type="dxa" w:w="6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center"/>
            </w:pPr>
            <w:r>
              <w:rPr>
                <w:rFonts w:ascii="Arial" w:cs="Arial" w:eastAsia="Arial" w:hAnsi="Arial"/>
                <w:b w:val="false"/>
                <w:bCs w:val="false"/>
                <w:i w:val="false"/>
                <w:iCs w:val="false"/>
                <w:caps w:val="false"/>
                <w:color w:val="333333"/>
                <w:sz w:val="18"/>
                <w:szCs w:val="18"/>
              </w:rPr>
              <w:t xml:space="preserve">3</w:t>
            </w:r>
          </w:p>
        </w:tc>
        <w:tc>
          <w:tcPr>
            <w:tcW w:type="dxa" w:w="30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Court hearings; AmeriCorps team leadership; client and stakeholder communication</w:t>
            </w:r>
          </w:p>
        </w:tc>
        <w:tc>
          <w:tcPr>
            <w:tcW w:type="dxa" w:w="14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Gen Ed / OC</w:t>
            </w:r>
          </w:p>
        </w:tc>
      </w:tr>
      <w:tr>
        <w:tc>
          <w:tcPr>
            <w:tcW w:type="dxa" w:w="11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CIS/LGL 130</w:t>
            </w:r>
          </w:p>
        </w:tc>
        <w:tc>
          <w:tcPr>
            <w:tcW w:type="dxa" w:w="32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Technology in the Law / Information Technology</w:t>
            </w:r>
          </w:p>
        </w:tc>
        <w:tc>
          <w:tcPr>
            <w:tcW w:type="dxa" w:w="6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center"/>
            </w:pPr>
            <w:r>
              <w:rPr>
                <w:rFonts w:ascii="Arial" w:cs="Arial" w:eastAsia="Arial" w:hAnsi="Arial"/>
                <w:b w:val="false"/>
                <w:bCs w:val="false"/>
                <w:i w:val="false"/>
                <w:iCs w:val="false"/>
                <w:caps w:val="false"/>
                <w:color w:val="333333"/>
                <w:sz w:val="18"/>
                <w:szCs w:val="18"/>
              </w:rPr>
              <w:t xml:space="preserve">3</w:t>
            </w:r>
          </w:p>
        </w:tc>
        <w:tc>
          <w:tcPr>
            <w:tcW w:type="dxa" w:w="30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Custom PC build; software development; Google Cybersecurity Certification; Legalitize platform</w:t>
            </w:r>
          </w:p>
        </w:tc>
        <w:tc>
          <w:tcPr>
            <w:tcW w:type="dxa" w:w="14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Gen Ed / TC</w:t>
            </w:r>
          </w:p>
        </w:tc>
      </w:tr>
      <w:tr>
        <w:tc>
          <w:tcPr>
            <w:tcW w:type="dxa" w:w="11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FFFFFF"/>
                <w:sz w:val="18"/>
                <w:szCs w:val="18"/>
              </w:rPr>
              <w:t xml:space="preserve">TOTAL</w:t>
            </w:r>
          </w:p>
        </w:tc>
        <w:tc>
          <w:tcPr>
            <w:tcW w:type="dxa" w:w="32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
            </w:r>
          </w:p>
        </w:tc>
        <w:tc>
          <w:tcPr>
            <w:tcW w:type="dxa" w:w="6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center"/>
            </w:pPr>
            <w:r>
              <w:rPr>
                <w:rFonts w:ascii="Arial" w:cs="Arial" w:eastAsia="Arial" w:hAnsi="Arial"/>
                <w:b/>
                <w:bCs/>
                <w:i w:val="false"/>
                <w:iCs w:val="false"/>
                <w:caps w:val="false"/>
                <w:color w:val="FFFFFF"/>
                <w:sz w:val="18"/>
                <w:szCs w:val="18"/>
              </w:rPr>
              <w:t xml:space="preserve">46</w:t>
            </w:r>
          </w:p>
        </w:tc>
        <w:tc>
          <w:tcPr>
            <w:tcW w:type="dxa" w:w="30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FFFFFF"/>
                <w:sz w:val="18"/>
                <w:szCs w:val="18"/>
              </w:rPr>
              <w:t xml:space="preserve">9 LGL Specialty + 37 General Education / Non-Specialty</w:t>
            </w:r>
          </w:p>
        </w:tc>
        <w:tc>
          <w:tcPr>
            <w:tcW w:type="dxa" w:w="146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Within all policy limits</w:t>
            </w:r>
          </w:p>
        </w:tc>
      </w:tr>
    </w:tbl>
    <w:p>
      <w:pPr>
        <w:spacing w:after="120" w:before="0"/>
      </w:pPr>
    </w:p>
    <w:p>
      <w:pPr>
        <w:pStyle w:val="Heading2"/>
        <w:spacing w:after="120" w:before="220"/>
      </w:pPr>
      <w:r>
        <w:rPr>
          <w:rFonts w:ascii="Arial" w:cs="Arial" w:eastAsia="Arial" w:hAnsi="Arial"/>
          <w:b/>
          <w:bCs/>
          <w:i w:val="false"/>
          <w:iCs w:val="false"/>
          <w:caps w:val="false"/>
          <w:color w:val="1F3864"/>
          <w:sz w:val="26"/>
          <w:szCs w:val="26"/>
        </w:rPr>
        <w:t xml:space="preserve">Section 1.5 — My Evidence Base</w:t>
      </w:r>
    </w:p>
    <w:p>
      <w:pPr>
        <w:pBdr>
          <w:bottom w:val="single" w:color="2E75B6" w:sz="8" w:space="1"/>
        </w:pBdr>
        <w:spacing w:after="120" w:before="60"/>
      </w:pPr>
    </w:p>
    <w:p>
      <w:pPr>
        <w:spacing w:after="120" w:before="80" w:line="276"/>
        <w:jc w:val="left"/>
      </w:pPr>
      <w:r>
        <w:rPr>
          <w:rFonts w:ascii="Arial" w:cs="Arial" w:eastAsia="Arial" w:hAnsi="Arial"/>
          <w:b w:val="false"/>
          <w:bCs w:val="false"/>
          <w:i w:val="false"/>
          <w:iCs w:val="false"/>
          <w:caps w:val="false"/>
          <w:color w:val="333333"/>
          <w:sz w:val="20"/>
          <w:szCs w:val="20"/>
        </w:rPr>
        <w:t xml:space="preserve">Everything in this portfolio is documented. The following table summarizes my primary credential base. Certified copies, screenshots, and originals are available upon request.</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Credential / Record</w:t>
            </w:r>
          </w:p>
        </w:tc>
        <w:tc>
          <w:tcPr>
            <w:tcW w:type="dxa" w:w="18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Issuing Authority</w:t>
            </w:r>
          </w:p>
        </w:tc>
        <w:tc>
          <w:tcPr>
            <w:tcW w:type="dxa" w:w="43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Portfolio Relevance</w:t>
            </w:r>
          </w:p>
        </w:tc>
      </w:tr>
      <w:tr>
        <w:tc>
          <w:tcPr>
            <w:tcW w:type="dxa" w:w="32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42 U.S.C. § 1983 Civil Rights Complaint — USDC EDPA</w:t>
            </w:r>
          </w:p>
        </w:tc>
        <w:tc>
          <w:tcPr>
            <w:tcW w:type="dxa" w:w="1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U.S. District Court, Eastern District of PA</w:t>
            </w:r>
          </w:p>
        </w:tc>
        <w:tc>
          <w:tcPr>
            <w:tcW w:type="dxa" w:w="4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LGL 100, 210, ENG 100: Federal court procedure; constitutional tort; FRCP pleading</w:t>
            </w:r>
          </w:p>
        </w:tc>
      </w:tr>
      <w:tr>
        <w:tc>
          <w:tcPr>
            <w:tcW w:type="dxa" w:w="32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Delaware County CCP Custody Filings — Active Litigation</w:t>
            </w:r>
          </w:p>
        </w:tc>
        <w:tc>
          <w:tcPr>
            <w:tcW w:type="dxa" w:w="18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Delaware County CCP, PA</w:t>
            </w:r>
          </w:p>
        </w:tc>
        <w:tc>
          <w:tcPr>
            <w:tcW w:type="dxa" w:w="43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LGL 200: Contested custody; § 5337 relocation; § 5328 best-interest analysis</w:t>
            </w:r>
          </w:p>
        </w:tc>
      </w:tr>
      <w:tr>
        <w:tc>
          <w:tcPr>
            <w:tcW w:type="dxa" w:w="32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FERPA/IDEA/RTKL Research Memoranda and Administrative Filings</w:t>
            </w:r>
          </w:p>
        </w:tc>
        <w:tc>
          <w:tcPr>
            <w:tcW w:type="dxa" w:w="1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OOR, PA DOE, USDE</w:t>
            </w:r>
          </w:p>
        </w:tc>
        <w:tc>
          <w:tcPr>
            <w:tcW w:type="dxa" w:w="4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LGL 100, 210, ENG 100, PSY 100, SOC 101: Federal/state statutory research; administrative advocacy</w:t>
            </w:r>
          </w:p>
        </w:tc>
      </w:tr>
      <w:tr>
        <w:tc>
          <w:tcPr>
            <w:tcW w:type="dxa" w:w="32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Philadelphia, Montgomery County &amp; Hatboro PD Criminal Procedure Research</w:t>
            </w:r>
          </w:p>
        </w:tc>
        <w:tc>
          <w:tcPr>
            <w:tcW w:type="dxa" w:w="18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Public court records; self-directed research</w:t>
            </w:r>
          </w:p>
        </w:tc>
        <w:tc>
          <w:tcPr>
            <w:tcW w:type="dxa" w:w="43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ADJ 241, 101, 225: 4th/5th/6th Amendment; PA Rules of Criminal Procedure; police conduct</w:t>
            </w:r>
          </w:p>
        </w:tc>
      </w:tr>
      <w:tr>
        <w:tc>
          <w:tcPr>
            <w:tcW w:type="dxa" w:w="32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Shuda Enterprises LLC — PA Certificate of Organization; IRS CP575 EIN Notice</w:t>
            </w:r>
          </w:p>
        </w:tc>
        <w:tc>
          <w:tcPr>
            <w:tcW w:type="dxa" w:w="1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PA Dept. of State; IRS (EIN 39-2133642)</w:t>
            </w:r>
          </w:p>
        </w:tc>
        <w:tc>
          <w:tcPr>
            <w:tcW w:type="dxa" w:w="4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BUS 100, BUS 104: LLC formation; business entity law; regulatory compliance; contract formation</w:t>
            </w:r>
          </w:p>
        </w:tc>
      </w:tr>
      <w:tr>
        <w:tc>
          <w:tcPr>
            <w:tcW w:type="dxa" w:w="32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Google Cybersecurity Certificate — Coursera (Google)</w:t>
            </w:r>
          </w:p>
        </w:tc>
        <w:tc>
          <w:tcPr>
            <w:tcW w:type="dxa" w:w="18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Google / Coursera</w:t>
            </w:r>
          </w:p>
        </w:tc>
        <w:tc>
          <w:tcPr>
            <w:tcW w:type="dxa" w:w="43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LGL 130/TC, ENG 112: IT security frameworks; network defense; Python scripting; professional documentation</w:t>
            </w:r>
          </w:p>
        </w:tc>
      </w:tr>
      <w:tr>
        <w:tc>
          <w:tcPr>
            <w:tcW w:type="dxa" w:w="32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Legalitize — Legal Technology Platform (Software Development)</w:t>
            </w:r>
          </w:p>
        </w:tc>
        <w:tc>
          <w:tcPr>
            <w:tcW w:type="dxa" w:w="1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Self-founded; active development</w:t>
            </w:r>
          </w:p>
        </w:tc>
        <w:tc>
          <w:tcPr>
            <w:tcW w:type="dxa" w:w="4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LGL 130/TC, BUS 100, BUS 104, ENG 112: Full-stack software development; legal tech product design; startup operations</w:t>
            </w:r>
          </w:p>
        </w:tc>
      </w:tr>
      <w:tr>
        <w:tc>
          <w:tcPr>
            <w:tcW w:type="dxa" w:w="32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Custom PC Build — Hardware Assembly and Configuration</w:t>
            </w:r>
          </w:p>
        </w:tc>
        <w:tc>
          <w:tcPr>
            <w:tcW w:type="dxa" w:w="18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Self-documented; component receipts</w:t>
            </w:r>
          </w:p>
        </w:tc>
        <w:tc>
          <w:tcPr>
            <w:tcW w:type="dxa" w:w="43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LGL 130/TC: Hardware architecture; OS configuration; development environment setup</w:t>
            </w:r>
          </w:p>
        </w:tc>
      </w:tr>
      <w:tr>
        <w:tc>
          <w:tcPr>
            <w:tcW w:type="dxa" w:w="32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AmeriCorps NCCC — Atlantic Region (1,746 hrs) + Pacific Region (1,883 hrs)</w:t>
            </w:r>
          </w:p>
        </w:tc>
        <w:tc>
          <w:tcPr>
            <w:tcW w:type="dxa" w:w="1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CNCS / AmeriCorps (3,629 total service hours)</w:t>
            </w:r>
          </w:p>
        </w:tc>
        <w:tc>
          <w:tcPr>
            <w:tcW w:type="dxa" w:w="4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ENG 100, ENG 112, SPC 101, SOC 101: Sustained professional writing; public speaking; community development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60"/>
              <w:left w:type="dxa" w:w="280"/>
              <w:bottom w:type="dxa" w:w="160"/>
              <w:right w:type="dxa" w:w="280"/>
            </w:tcMar>
          </w:tcPr>
          <w:p>
            <w:pPr>
              <w:jc w:val="center"/>
            </w:pPr>
            <w:r>
              <w:rPr>
                <w:rFonts w:ascii="Arial" w:cs="Arial" w:eastAsia="Arial" w:hAnsi="Arial"/>
                <w:b/>
                <w:bCs/>
                <w:i w:val="false"/>
                <w:iCs w:val="false"/>
                <w:caps/>
                <w:color w:val="FFFFFF"/>
                <w:sz w:val="24"/>
                <w:szCs w:val="24"/>
              </w:rPr>
              <w:t xml:space="preserve">Part II: LGL Specialty Course PLA Submissions (9 Credits — Policy Maximum)</w:t>
            </w:r>
          </w:p>
        </w:tc>
      </w:tr>
    </w:tbl>
    <w:p>
      <w:pPr>
        <w:spacing w:after="200" w:before="0"/>
      </w:pPr>
    </w:p>
    <w:p>
      <w:pPr>
        <w:pStyle w:val="Heading2"/>
        <w:spacing w:after="120" w:before="220"/>
      </w:pPr>
      <w:r>
        <w:rPr>
          <w:rFonts w:ascii="Arial" w:cs="Arial" w:eastAsia="Arial" w:hAnsi="Arial"/>
          <w:b/>
          <w:bCs/>
          <w:i w:val="false"/>
          <w:iCs w:val="false"/>
          <w:caps w:val="false"/>
          <w:color w:val="1F3864"/>
          <w:sz w:val="26"/>
          <w:szCs w:val="26"/>
        </w:rPr>
        <w:t xml:space="preserve">Section 2.1 — LGL 100: Introduction to Legal and Paralegal Studies</w:t>
      </w:r>
    </w:p>
    <w:p>
      <w:pPr>
        <w:pBdr>
          <w:bottom w:val="single" w:color="2E75B6" w:sz="8" w:space="1"/>
        </w:pBdr>
        <w:spacing w:after="1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560"/>
        <w:gridCol w:w="1000"/>
      </w:tblGrid>
      <w:tr>
        <w:tc>
          <w:tcPr>
            <w:tcW w:type="dxa" w:w="1800"/>
            <w:tcBorders>
              <w:top w:val="single" w:color="1F6B75" w:sz="4"/>
              <w:left w:val="single" w:color="1F6B75" w:sz="4"/>
              <w:bottom w:val="single" w:color="1F6B75" w:sz="4"/>
              <w:right w:val="single" w:color="1F6B75" w:sz="4"/>
            </w:tcBorders>
            <w:shd w:fill="1F6B75"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LGL 100</w:t>
            </w:r>
          </w:p>
        </w:tc>
        <w:tc>
          <w:tcPr>
            <w:tcW w:type="dxa" w:w="65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Introduction to Legal and Paralegal Studies</w:t>
            </w:r>
          </w:p>
        </w:tc>
        <w:tc>
          <w:tcPr>
            <w:tcW w:type="dxa" w:w="1000"/>
            <w:tcBorders>
              <w:top w:val="single" w:color="2E75B6" w:sz="4"/>
              <w:left w:val="single" w:color="2E75B6" w:sz="4"/>
              <w:bottom w:val="single" w:color="2E75B6" w:sz="4"/>
              <w:right w:val="single" w:color="2E75B6" w:sz="4"/>
            </w:tcBorders>
            <w:shd w:fill="2E75B6"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3 Credits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Catalog Description</w:t>
            </w:r>
          </w:p>
        </w:tc>
        <w:tc>
          <w:tcPr>
            <w:tcW w:type="dxa" w:w="75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Overview of the American legal system: sources of law, court systems, substantive laws, legal terminology, constitutional foundation, federalism, jurisdiction hierarchy, legal research tools, and paralegal ethics.</w:t>
            </w:r>
          </w:p>
        </w:tc>
      </w:tr>
      <w:tr>
        <w:tc>
          <w:tcPr>
            <w:tcW w:type="dxa" w:w="18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FFFFFF"/>
                <w:sz w:val="18"/>
                <w:szCs w:val="18"/>
              </w:rPr>
              <w:t xml:space="preserve">My PLA Basis</w:t>
            </w:r>
          </w:p>
        </w:tc>
        <w:tc>
          <w:tcPr>
            <w:tcW w:type="dxa" w:w="75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been actively practicing in the American legal system — as a pro se litigant in both Pennsylvania state courts and the U.S. District Court for the Eastern District of Pennsylvania — for over ten years. I have independently acquired and applied foundational legal knowledge in constitutional law, jurisdiction, statutory research, legal citation, and paralegal ethics at a level that exceeds introductory instruction.</w:t>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2.1.1 — Learning Outcomes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200"/>
        <w:gridCol w:w="2800"/>
      </w:tblGrid>
      <w:tr>
        <w:trPr>
          <w:tblHeader/>
        </w:trPr>
        <w:tc>
          <w:tcPr>
            <w:tcW w:type="dxa" w:w="33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Learning Outcome (DCCC Catalog)</w:t>
            </w:r>
          </w:p>
        </w:tc>
        <w:tc>
          <w:tcPr>
            <w:tcW w:type="dxa" w:w="32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My Demonstrated Competency / Experience</w:t>
            </w:r>
          </w:p>
        </w:tc>
        <w:tc>
          <w:tcPr>
            <w:tcW w:type="dxa" w:w="28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Supporting Documentation</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1: </w:t>
            </w:r>
            <w:r>
              <w:rPr>
                <w:rFonts w:ascii="Arial" w:cs="Arial" w:eastAsia="Arial" w:hAnsi="Arial"/>
                <w:b w:val="false"/>
                <w:bCs w:val="false"/>
                <w:i w:val="false"/>
                <w:iCs w:val="false"/>
                <w:caps w:val="false"/>
                <w:color w:val="333333"/>
                <w:sz w:val="18"/>
                <w:szCs w:val="18"/>
              </w:rPr>
              <w:t xml:space="preserve">Identify key legal concepts and principles in constitutional law, common law, and statutory law.</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independently researched and applied constitutional law (1st, 4th, 5th, 14th Amendments), 42 U.S.C. § 1983, FERPA (20 U.S.C. § 1232g), IDEA (20 U.S.C. § 1400), and Pennsylvania statutory law (23 Pa.C.S. § 5321 et seq.; 65 P.S. § 67.101 RTKL) in active, high-stakes litigation contexts over a decade.</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Pro se federal complaint; FERPA appeal letters; RTKL requests; IDEA dispute correspondence; Delaware County CCP filings</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2: </w:t>
            </w:r>
            <w:r>
              <w:rPr>
                <w:rFonts w:ascii="Arial" w:cs="Arial" w:eastAsia="Arial" w:hAnsi="Arial"/>
                <w:b w:val="false"/>
                <w:bCs w:val="false"/>
                <w:i w:val="false"/>
                <w:iCs w:val="false"/>
                <w:caps w:val="false"/>
                <w:color w:val="333333"/>
                <w:sz w:val="18"/>
                <w:szCs w:val="18"/>
              </w:rPr>
              <w:t xml:space="preserve">Identify and discuss the various concepts of jurisdiction in the US legal system.</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applied working knowledge of subject matter jurisdiction (28 U.S.C. § 1331 federal question; § 1983 jurisdiction), personal jurisdiction, diversity jurisdiction, and concurrent vs. exclusive jurisdiction — correctly selecting USDC EDPA for federal claims and Delaware County CCP for state claims arising from the same facts.</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 1983 complaint jurisdictional statement; pro se filings selecting correct forum for each claim type</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3: </w:t>
            </w:r>
            <w:r>
              <w:rPr>
                <w:rFonts w:ascii="Arial" w:cs="Arial" w:eastAsia="Arial" w:hAnsi="Arial"/>
                <w:b w:val="false"/>
                <w:bCs w:val="false"/>
                <w:i w:val="false"/>
                <w:iCs w:val="false"/>
                <w:caps w:val="false"/>
                <w:color w:val="333333"/>
                <w:sz w:val="18"/>
                <w:szCs w:val="18"/>
              </w:rPr>
              <w:t xml:space="preserve">Identify and utilize principles of legal writing, organization, and citation.</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apply Bluebook citation format throughout my legal documents. I organize filings consistent with court rules: case caption, party identification, jurisdictional statement, numbered factual allegations, causes of action, prayer for relief.</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Federal complaint draft; memoranda of law; correspondence to OOR and PA DOE — all with proper citation and structure</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4: </w:t>
            </w:r>
            <w:r>
              <w:rPr>
                <w:rFonts w:ascii="Arial" w:cs="Arial" w:eastAsia="Arial" w:hAnsi="Arial"/>
                <w:b w:val="false"/>
                <w:bCs w:val="false"/>
                <w:i w:val="false"/>
                <w:iCs w:val="false"/>
                <w:caps w:val="false"/>
                <w:color w:val="333333"/>
                <w:sz w:val="18"/>
                <w:szCs w:val="18"/>
              </w:rPr>
              <w:t xml:space="preserve">Draft and prepare written assignments in the legal context.</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personally drafted pro se complaints, motions, supporting memoranda, discovery requests, administrative appeals, and agency correspondence across state and federal forums — each requiring original legal reasoning, citation support, and court-rule compliance.</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Federal civil complaint; custody motions; RTKL appeal to OOR; FERPA complaint to U.S. Dept. of Education</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5: </w:t>
            </w:r>
            <w:r>
              <w:rPr>
                <w:rFonts w:ascii="Arial" w:cs="Arial" w:eastAsia="Arial" w:hAnsi="Arial"/>
                <w:b w:val="false"/>
                <w:bCs w:val="false"/>
                <w:i w:val="false"/>
                <w:iCs w:val="false"/>
                <w:caps w:val="false"/>
                <w:color w:val="333333"/>
                <w:sz w:val="18"/>
                <w:szCs w:val="18"/>
              </w:rPr>
              <w:t xml:space="preserve">Analyze case facts; identify pertinent laws and apply them to a logical conclusion.</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conduct issue-spotting and IRAC-style analysis across multiple matters: § 1983 element analysis, FERPA violations, IDEA FAPE analysis, and custody § 5328 factor mapping. I consistently identify the applicable standard, apply facts to each element, and draw a supported conclusion.</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Drafts with element-by-element analysis; legal research memoranda mapping facts to legal standards</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6: </w:t>
            </w:r>
            <w:r>
              <w:rPr>
                <w:rFonts w:ascii="Arial" w:cs="Arial" w:eastAsia="Arial" w:hAnsi="Arial"/>
                <w:b w:val="false"/>
                <w:bCs w:val="false"/>
                <w:i w:val="false"/>
                <w:iCs w:val="false"/>
                <w:caps w:val="false"/>
                <w:color w:val="333333"/>
                <w:sz w:val="18"/>
                <w:szCs w:val="18"/>
              </w:rPr>
              <w:t xml:space="preserve">Conduct legal research using the internet and CALR tools common in the industry.</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consistently use CourtListener, Google Scholar, the official PA Courts website, FERPA regulations (34 C.F.R. Part 99), IDEA regulations (34 C.F.R. Part 300), Cornell LII, and official government databases. My research has uncovered binding precedent that has shaped my litigation strategy.</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Case citations demonstrating active case law research; regulatory database use reflected in research materials</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7: </w:t>
            </w:r>
            <w:r>
              <w:rPr>
                <w:rFonts w:ascii="Arial" w:cs="Arial" w:eastAsia="Arial" w:hAnsi="Arial"/>
                <w:b w:val="false"/>
                <w:bCs w:val="false"/>
                <w:i w:val="false"/>
                <w:iCs w:val="false"/>
                <w:caps w:val="false"/>
                <w:color w:val="333333"/>
                <w:sz w:val="18"/>
                <w:szCs w:val="18"/>
              </w:rPr>
              <w:t xml:space="preserve">Identify and apply ethical rules prohibiting the unauthorized practice of law.</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maintained consistent awareness of the pro se posture and UPL prohibition throughout my litigation. I researched Pa.R.P.C. 5.5 and RPC 1.2 to understand the ethical framework applicable to paraprofessional practice.</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Pro se designations in all court captions; no representation of third parties; documented research into Pa.R.P.C.</w:t>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2.1.2 — My Competency Narrative</w:t>
      </w:r>
    </w:p>
    <w:p>
      <w:pPr>
        <w:spacing w:after="120" w:before="80" w:line="276"/>
        <w:jc w:val="left"/>
      </w:pPr>
      <w:r>
        <w:rPr>
          <w:rFonts w:ascii="Arial" w:cs="Arial" w:eastAsia="Arial" w:hAnsi="Arial"/>
          <w:b w:val="false"/>
          <w:bCs w:val="false"/>
          <w:i w:val="false"/>
          <w:iCs w:val="false"/>
          <w:caps w:val="false"/>
          <w:color w:val="333333"/>
          <w:sz w:val="20"/>
          <w:szCs w:val="20"/>
        </w:rPr>
        <w:t xml:space="preserve">I have been navigating the American legal system independently for over a decade. Not as a bystander, and not with an attorney holding my hand — as the drafter of every document, the researcher behind every citation, and the strategist behind every filing. That experience has given me a comprehensive, working mastery of precisely the material taught in LGL 100.</w:t>
      </w:r>
    </w:p>
    <w:p>
      <w:pPr>
        <w:spacing w:after="120" w:before="80" w:line="276"/>
        <w:jc w:val="left"/>
      </w:pPr>
      <w:r>
        <w:rPr>
          <w:rFonts w:ascii="Arial" w:cs="Arial" w:eastAsia="Arial" w:hAnsi="Arial"/>
          <w:b w:val="false"/>
          <w:bCs w:val="false"/>
          <w:i w:val="false"/>
          <w:iCs w:val="false"/>
          <w:caps w:val="false"/>
          <w:color w:val="333333"/>
          <w:sz w:val="20"/>
          <w:szCs w:val="20"/>
        </w:rPr>
        <w:t xml:space="preserve">My legal system knowledge begins with the constitutional foundations that LGL 100 addresses first. I understand federalism as a lived legal reality, not a textbook concept: I have had to decide, in actual litigation, which court has subject matter jurisdiction over which claims. My § 1983 civil rights action required me to understand that federal courts have original jurisdiction over constitutional claims under 28 U.S.C. § 1331, while my custody matter belongs in the Delaware County Court of Common Pleas because domestic relations law is a reserved state power. I understand the three-tiered federal court structure and the Pennsylvania Unified Judicial System from the Magisterial District Judge level through the Supreme Court.</w:t>
      </w:r>
    </w:p>
    <w:p>
      <w:pPr>
        <w:spacing w:after="120" w:before="80" w:line="276"/>
        <w:jc w:val="left"/>
      </w:pPr>
      <w:r>
        <w:rPr>
          <w:rFonts w:ascii="Arial" w:cs="Arial" w:eastAsia="Arial" w:hAnsi="Arial"/>
          <w:b w:val="false"/>
          <w:bCs w:val="false"/>
          <w:i w:val="false"/>
          <w:iCs w:val="false"/>
          <w:caps w:val="false"/>
          <w:color w:val="333333"/>
          <w:sz w:val="20"/>
          <w:szCs w:val="20"/>
        </w:rPr>
        <w:t xml:space="preserve">My research skills are not academic — they are operational. I have located, read, and applied binding federal circuit precedent, U.S. Supreme Court pleading standards (Iqbal/Twombly), Pennsylvania Superior Court holdings on relocation, and agency regulations from the U.S. Department of Education. I use CourtListener, Cornell LII, PACourts.us, and the official PA General Assembly website as working research tools. I know how to Shepardize, how to distinguish controlling from persuasive authority, and how to identify when a case has been overruled.</w:t>
      </w:r>
    </w:p>
    <w:p>
      <w:pPr>
        <w:spacing w:after="120" w:before="80" w:line="276"/>
        <w:jc w:val="left"/>
      </w:pPr>
      <w:r>
        <w:rPr>
          <w:rFonts w:ascii="Arial" w:cs="Arial" w:eastAsia="Arial" w:hAnsi="Arial"/>
          <w:b w:val="false"/>
          <w:bCs w:val="false"/>
          <w:i w:val="false"/>
          <w:iCs w:val="false"/>
          <w:caps w:val="false"/>
          <w:color w:val="333333"/>
          <w:sz w:val="20"/>
          <w:szCs w:val="20"/>
        </w:rPr>
        <w:t xml:space="preserve">My document drafting meets professional standards. My federal complaint contains a proper caption, numbered paragraphs, a jurisdictional statement citing 28 U.S.C. §§ 1331 and 1343, causes of action identifying each § 1983 element, and a prayer for relief. My administrative filings to the OOR, PA DOE, and USDE are structured as formal legal correspondence with statutory citations. I maintain Bluebook format throughout. These are not approximations of what LGL 100 teaches — they are the product.</w:t>
      </w:r>
    </w:p>
    <w:p>
      <w:pPr>
        <w:spacing w:after="120" w:before="80" w:line="276"/>
        <w:jc w:val="left"/>
      </w:pPr>
      <w:r>
        <w:rPr>
          <w:rFonts w:ascii="Arial" w:cs="Arial" w:eastAsia="Arial" w:hAnsi="Arial"/>
          <w:b w:val="false"/>
          <w:bCs w:val="false"/>
          <w:i w:val="false"/>
          <w:iCs w:val="false"/>
          <w:caps w:val="false"/>
          <w:color w:val="333333"/>
          <w:sz w:val="20"/>
          <w:szCs w:val="20"/>
        </w:rPr>
        <w:t xml:space="preserve">Finally, I understand the ethical framework. I have researched the unauthorized practice of law and am careful never to cross the line from self-representation into unauthorized representation of others. I understand Pa.R.P.C. 5.5, the role of the attorney versus the paralegal, and the duty of confidentiality — all core ethics topics in LGL 100. My competency in this course is Exemplary.</w:t>
      </w:r>
    </w:p>
    <w:p>
      <w:pPr>
        <w:spacing w:after="120" w:before="0"/>
      </w:pPr>
    </w:p>
    <w:p>
      <w:pPr>
        <w:pStyle w:val="Heading3"/>
        <w:spacing w:after="120" w:before="220"/>
      </w:pPr>
      <w:r>
        <w:rPr>
          <w:rFonts w:ascii="Arial" w:cs="Arial" w:eastAsia="Arial" w:hAnsi="Arial"/>
          <w:b/>
          <w:bCs/>
          <w:i w:val="false"/>
          <w:iCs w:val="false"/>
          <w:caps w:val="false"/>
          <w:color w:val="2E75B6"/>
          <w:sz w:val="22"/>
          <w:szCs w:val="22"/>
        </w:rPr>
        <w:t xml:space="preserve">2.1.3 — Evidence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400"/>
        <w:gridCol w:w="3460"/>
      </w:tblGrid>
      <w:tr>
        <w:trPr>
          <w:tblHeader/>
        </w:trPr>
        <w:tc>
          <w:tcPr>
            <w:tcW w:type="dxa" w:w="29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Document / Record</w:t>
            </w:r>
          </w:p>
        </w:tc>
        <w:tc>
          <w:tcPr>
            <w:tcW w:type="dxa" w:w="16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Type</w:t>
            </w:r>
          </w:p>
        </w:tc>
        <w:tc>
          <w:tcPr>
            <w:tcW w:type="dxa" w:w="14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Date / Period</w:t>
            </w:r>
          </w:p>
        </w:tc>
        <w:tc>
          <w:tcPr>
            <w:tcW w:type="dxa" w:w="34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Course Relevance</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Pro Se 42 U.S.C. § 1983 Federal Complaint</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Court Filing Draft</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2021–Present</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1–7: Federal court system; constitutional tort; FRCP pleading; Bluebook citation; jurisdiction; ethics</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Delaware County CCP Custody Filings</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Court Filings</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2019–Present</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1–4: PA court system; state jurisdiction; procedural compliance; document preparation</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FERPA Complaint — U.S. Dept. of Education</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Administrative Filing</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2022–Present</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4, 5, 6: Federal statutory research; CALR; formal agency correspondence</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RTKL Requests and OOR Appeal Submissions</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Administrative Filings</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2020–Present</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3, 4, 6: PA statutory law; formal written advocacy; document preparation</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IDEA/FAPE Research Memoranda and IEP Dispute Letters</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Legal Correspondence</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2021–Present</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5, 6: Federal statutory framework; issue analysis; regulatory research</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Shuda Enterprises LLC — Certificate of Organization; IRS EIN Letter (EIN 39-2133642)</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Business Records</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2025</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Business entity as legal person; statutory formation; regulatory compliance</w:t>
            </w:r>
          </w:p>
        </w:tc>
      </w:tr>
    </w:tbl>
    <w:p>
      <w:pPr>
        <w:spacing w:after="100" w:before="0"/>
      </w:pPr>
    </w:p>
    <w:p>
      <w:pPr>
        <w:pStyle w:val="Heading3"/>
        <w:spacing w:after="120" w:before="220"/>
      </w:pPr>
      <w:r>
        <w:rPr>
          <w:rFonts w:ascii="Arial" w:cs="Arial" w:eastAsia="Arial" w:hAnsi="Arial"/>
          <w:b/>
          <w:bCs/>
          <w:i w:val="false"/>
          <w:iCs w:val="false"/>
          <w:caps w:val="false"/>
          <w:color w:val="2E75B6"/>
          <w:sz w:val="22"/>
          <w:szCs w:val="22"/>
        </w:rPr>
        <w:t xml:space="preserve">2.1.4 — Rubric Self-Assessment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60"/>
        <w:gridCol w:w="1580"/>
        <w:gridCol w:w="1580"/>
        <w:gridCol w:w="1580"/>
        <w:gridCol w:w="1580"/>
        <w:gridCol w:w="1580"/>
      </w:tblGrid>
      <w:tr>
        <w:tc>
          <w:tcPr>
            <w:tcW w:type="dxa" w:w="1460"/>
            <w:tcBorders>
              <w:top w:val="single" w:color="333333" w:sz="4"/>
              <w:left w:val="single" w:color="333333" w:sz="4"/>
              <w:bottom w:val="single" w:color="333333" w:sz="4"/>
              <w:right w:val="single" w:color="333333" w:sz="4"/>
            </w:tcBorders>
            <w:shd w:fill="333333"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Criterion</w:t>
            </w:r>
          </w:p>
        </w:tc>
        <w:tc>
          <w:tcPr>
            <w:tcW w:type="dxa" w:w="1580"/>
            <w:tcBorders>
              <w:top w:val="thick" w:color="375623" w:sz="16"/>
              <w:left w:val="thick" w:color="375623" w:sz="16"/>
              <w:bottom w:val="thick" w:color="375623" w:sz="16"/>
              <w:right w:val="thick" w:color="375623" w:sz="16"/>
            </w:tcBorders>
            <w:shd w:fill="E2EFDA" w:val="clear"/>
            <w:tcMar>
              <w:top w:type="dxa" w:w="100"/>
              <w:left w:type="dxa" w:w="80"/>
              <w:bottom w:type="dxa" w:w="100"/>
              <w:right w:type="dxa" w:w="80"/>
            </w:tcMar>
            <w:vAlign w:val="center"/>
          </w:tcPr>
          <w:p>
            <w:pPr>
              <w:jc w:val="center"/>
            </w:pPr>
            <w:r>
              <w:rPr>
                <w:rFonts w:ascii="Arial" w:cs="Arial" w:eastAsia="Arial" w:hAnsi="Arial"/>
                <w:b/>
                <w:bCs/>
                <w:i w:val="false"/>
                <w:iCs w:val="false"/>
                <w:caps w:val="false"/>
                <w:color w:val="375623"/>
                <w:sz w:val="16"/>
                <w:szCs w:val="16"/>
              </w:rPr>
              <w:t xml:space="preserve">EXEMPLARY  ✓ Claimed</w:t>
            </w:r>
          </w:p>
        </w:tc>
        <w:tc>
          <w:tcPr>
            <w:tcW w:type="dxa" w:w="1580"/>
            <w:tcBorders>
              <w:top w:val="single" w:color="1F3864" w:sz="4"/>
              <w:left w:val="single" w:color="1F3864" w:sz="4"/>
              <w:bottom w:val="single" w:color="1F3864" w:sz="4"/>
              <w:right w:val="single" w:color="1F3864" w:sz="4"/>
            </w:tcBorders>
            <w:shd w:fill="DEEAF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1F3864"/>
                <w:sz w:val="16"/>
                <w:szCs w:val="16"/>
              </w:rPr>
              <w:t xml:space="preserve">PROFICIENT</w:t>
            </w:r>
          </w:p>
        </w:tc>
        <w:tc>
          <w:tcPr>
            <w:tcW w:type="dxa" w:w="1580"/>
            <w:tcBorders>
              <w:top w:val="single" w:color="7F6000" w:sz="4"/>
              <w:left w:val="single" w:color="7F6000" w:sz="4"/>
              <w:bottom w:val="single" w:color="7F6000" w:sz="4"/>
              <w:right w:val="single" w:color="7F6000" w:sz="4"/>
            </w:tcBorders>
            <w:shd w:fill="FFF2CC"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F6000"/>
                <w:sz w:val="16"/>
                <w:szCs w:val="16"/>
              </w:rPr>
              <w:t xml:space="preserve">COMPETENT</w:t>
            </w:r>
          </w:p>
        </w:tc>
        <w:tc>
          <w:tcPr>
            <w:tcW w:type="dxa" w:w="1580"/>
            <w:tcBorders>
              <w:top w:val="single" w:color="843C0C" w:sz="4"/>
              <w:left w:val="single" w:color="843C0C" w:sz="4"/>
              <w:bottom w:val="single" w:color="843C0C" w:sz="4"/>
              <w:right w:val="single" w:color="843C0C" w:sz="4"/>
            </w:tcBorders>
            <w:shd w:fill="FCE4D6"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843C0C"/>
                <w:sz w:val="16"/>
                <w:szCs w:val="16"/>
              </w:rPr>
              <w:t xml:space="preserve">DEVELOPING</w:t>
            </w:r>
          </w:p>
        </w:tc>
        <w:tc>
          <w:tcPr>
            <w:tcW w:type="dxa" w:w="1580"/>
            <w:tcBorders>
              <w:top w:val="single" w:color="7B0000" w:sz="4"/>
              <w:left w:val="single" w:color="7B0000" w:sz="4"/>
              <w:bottom w:val="single" w:color="7B0000" w:sz="4"/>
              <w:right w:val="single" w:color="7B0000" w:sz="4"/>
            </w:tcBorders>
            <w:shd w:fill="FFDFD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B0000"/>
                <w:sz w:val="16"/>
                <w:szCs w:val="16"/>
              </w:rPr>
              <w:t xml:space="preserve">INSUFFICIENT</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Level Description</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Exceeds all learning outcomes; independent mastery; could serve as a teaching example</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all learning outcomes with minimal guidance; demonstrates understanding and application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most learning outcomes; demonstrates adequate understanding with some gaps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some learning outcomes; demonstrates basic awareness but significant gaps remain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Fails to meet most learning outcomes; insufficient evidence of prior learning</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Legal System Knowledge</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have applied federal and state legal system hierarchy, jurisdiction, and constitutional structure in active litigation across multiple courts for 10+ years — including USDC EDPA and Delaware County CCP simultaneously</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Legal Research Skills</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consistently use public legal databases, government websites, and CALR-equivalent tools to locate and verify statutes, regulations, and case law across FERPA, IDEA, RTKL, § 1983, and domestic relations domains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Document Drafting and Citation</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prepare court-compliant documents with Bluebook citations, proper party captions, numbered allegations, and jurisdictional statements meeting or exceeding FRCP and Pennsylvania court formatting requirements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Ethical Awareness</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consistently maintain my pro se posture; have researched UPL rules; and demonstrate clear understanding of the paralegal-attorney ethical framework and its limits under Pa.R.P.C.</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bl>
    <w:p>
      <w:r>
        <w:br w:type="page"/>
      </w:r>
    </w:p>
    <w:p>
      <w:pPr>
        <w:pStyle w:val="Heading2"/>
        <w:spacing w:after="120" w:before="220"/>
      </w:pPr>
      <w:r>
        <w:rPr>
          <w:rFonts w:ascii="Arial" w:cs="Arial" w:eastAsia="Arial" w:hAnsi="Arial"/>
          <w:b/>
          <w:bCs/>
          <w:i w:val="false"/>
          <w:iCs w:val="false"/>
          <w:caps w:val="false"/>
          <w:color w:val="1F3864"/>
          <w:sz w:val="26"/>
          <w:szCs w:val="26"/>
        </w:rPr>
        <w:t xml:space="preserve">Section 2.2 — LGL 200: Family Law</w:t>
      </w:r>
    </w:p>
    <w:p>
      <w:pPr>
        <w:pBdr>
          <w:bottom w:val="single" w:color="2E75B6" w:sz="8" w:space="1"/>
        </w:pBdr>
        <w:spacing w:after="1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560"/>
        <w:gridCol w:w="1000"/>
      </w:tblGrid>
      <w:tr>
        <w:tc>
          <w:tcPr>
            <w:tcW w:type="dxa" w:w="1800"/>
            <w:tcBorders>
              <w:top w:val="single" w:color="1F6B75" w:sz="4"/>
              <w:left w:val="single" w:color="1F6B75" w:sz="4"/>
              <w:bottom w:val="single" w:color="1F6B75" w:sz="4"/>
              <w:right w:val="single" w:color="1F6B75" w:sz="4"/>
            </w:tcBorders>
            <w:shd w:fill="1F6B75"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LGL 200</w:t>
            </w:r>
          </w:p>
        </w:tc>
        <w:tc>
          <w:tcPr>
            <w:tcW w:type="dxa" w:w="65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Family Law</w:t>
            </w:r>
          </w:p>
        </w:tc>
        <w:tc>
          <w:tcPr>
            <w:tcW w:type="dxa" w:w="1000"/>
            <w:tcBorders>
              <w:top w:val="single" w:color="2E75B6" w:sz="4"/>
              <w:left w:val="single" w:color="2E75B6" w:sz="4"/>
              <w:bottom w:val="single" w:color="2E75B6" w:sz="4"/>
              <w:right w:val="single" w:color="2E75B6" w:sz="4"/>
            </w:tcBorders>
            <w:shd w:fill="2E75B6"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3 Credits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Catalog Description</w:t>
            </w:r>
          </w:p>
        </w:tc>
        <w:tc>
          <w:tcPr>
            <w:tcW w:type="dxa" w:w="75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Procedural and substantive law affecting family and domestic relations: prenuptial agreements, separation, divorce, spousal support, alimony, spousal abuse, custody, child support, and adoption. Emphasis on preparation of relevant legal documents and filing procedures.</w:t>
            </w:r>
          </w:p>
        </w:tc>
      </w:tr>
      <w:tr>
        <w:tc>
          <w:tcPr>
            <w:tcW w:type="dxa" w:w="18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FFFFFF"/>
                <w:sz w:val="18"/>
                <w:szCs w:val="18"/>
              </w:rPr>
              <w:t xml:space="preserve">My PLA Basis</w:t>
            </w:r>
          </w:p>
        </w:tc>
        <w:tc>
          <w:tcPr>
            <w:tcW w:type="dxa" w:w="75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been an active, pro se party in contested custody proceedings in the Delaware County Court of Common Pleas since approximately 2019. My matter has involved every substantive topic addressed in LGL 200: initial custody proceedings, emergency petitions, a contested relocation dispute under 23 Pa.C.S. § 5337, child support, and contempt. I personally drafted and filed every document in this matter.</w:t>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2.2.1 — Learning Outcomes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200"/>
        <w:gridCol w:w="2800"/>
      </w:tblGrid>
      <w:tr>
        <w:trPr>
          <w:tblHeader/>
        </w:trPr>
        <w:tc>
          <w:tcPr>
            <w:tcW w:type="dxa" w:w="33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Learning Outcome (DCCC Catalog)</w:t>
            </w:r>
          </w:p>
        </w:tc>
        <w:tc>
          <w:tcPr>
            <w:tcW w:type="dxa" w:w="32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My Demonstrated Competency / Experience</w:t>
            </w:r>
          </w:p>
        </w:tc>
        <w:tc>
          <w:tcPr>
            <w:tcW w:type="dxa" w:w="28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Supporting Documentation</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1: </w:t>
            </w:r>
            <w:r>
              <w:rPr>
                <w:rFonts w:ascii="Arial" w:cs="Arial" w:eastAsia="Arial" w:hAnsi="Arial"/>
                <w:b w:val="false"/>
                <w:bCs w:val="false"/>
                <w:i w:val="false"/>
                <w:iCs w:val="false"/>
                <w:caps w:val="false"/>
                <w:color w:val="333333"/>
                <w:sz w:val="18"/>
                <w:szCs w:val="18"/>
              </w:rPr>
              <w:t xml:space="preserve">Identify and discuss principles applicable to family and domestic relations law.</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independently researched and applied the full PA domestic relations code: custody under 23 Pa.C.S. §§ 5321-5340, relocation under § 5337, support under 23 Pa.C.S. § 4301 et seq. and Pa.R.C.P. 1910, and the procedural rules governing Delaware County Family Court. I understand each statute's structure, standards, and burden of proof.</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Custody complaints; relocation opposition filings; support petitions; legal research notes on PA domestic relations law</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2: </w:t>
            </w:r>
            <w:r>
              <w:rPr>
                <w:rFonts w:ascii="Arial" w:cs="Arial" w:eastAsia="Arial" w:hAnsi="Arial"/>
                <w:b w:val="false"/>
                <w:bCs w:val="false"/>
                <w:i w:val="false"/>
                <w:iCs w:val="false"/>
                <w:caps w:val="false"/>
                <w:color w:val="333333"/>
                <w:sz w:val="18"/>
                <w:szCs w:val="18"/>
              </w:rPr>
              <w:t xml:space="preserve">Research family law matters using CALR tools.</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used PA General Assembly statutory databases, PACourts.us, CourtListener, and secondary research sources to locate and analyze controlling family law authority. I have tracked the 16 § 5328 best-interest factors, the § 5337 relocation notice and burden requirements, and the procedural timelines for contempt proceedings.</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Research memoranda on best-interest factors; § 5337 relocation analysis; support calculation worksheets using PA income shares model</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3: </w:t>
            </w:r>
            <w:r>
              <w:rPr>
                <w:rFonts w:ascii="Arial" w:cs="Arial" w:eastAsia="Arial" w:hAnsi="Arial"/>
                <w:b w:val="false"/>
                <w:bCs w:val="false"/>
                <w:i w:val="false"/>
                <w:iCs w:val="false"/>
                <w:caps w:val="false"/>
                <w:color w:val="333333"/>
                <w:sz w:val="18"/>
                <w:szCs w:val="18"/>
              </w:rPr>
              <w:t xml:space="preserve">Analyze fact patterns in family law scenarios to draw a logical conclusion.</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applied the § 5328 best-interest analysis to the specific facts of my custody matter, mapping each of the 16 statutory factors to documented evidence. I evaluated the strength of each party's position and identified likely judicial findings — precisely the FIRAC-style analysis LGL 200 teaches.</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Best-interest factor analysis memorandum; custody hearing preparation notes; written arguments on relocation burden of proof</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4: </w:t>
            </w:r>
            <w:r>
              <w:rPr>
                <w:rFonts w:ascii="Arial" w:cs="Arial" w:eastAsia="Arial" w:hAnsi="Arial"/>
                <w:b w:val="false"/>
                <w:bCs w:val="false"/>
                <w:i w:val="false"/>
                <w:iCs w:val="false"/>
                <w:caps w:val="false"/>
                <w:color w:val="333333"/>
                <w:sz w:val="18"/>
                <w:szCs w:val="18"/>
              </w:rPr>
              <w:t xml:space="preserve">Prepare legal documents commonly used in family law practice.</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personally prepared and filed: custody complaint; emergency custody petition; motions for contempt; opposition to relocation; and response filings. I know the required elements, proper caption, service requirements, and procedural deadlines under Pa.R.C.P. applicable to domestic relations actions.</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Delaware County CCP filed documents (custody complaint, motions, emergency petition); certificates of service; case correspondence</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5: </w:t>
            </w:r>
            <w:r>
              <w:rPr>
                <w:rFonts w:ascii="Arial" w:cs="Arial" w:eastAsia="Arial" w:hAnsi="Arial"/>
                <w:b w:val="false"/>
                <w:bCs w:val="false"/>
                <w:i w:val="false"/>
                <w:iCs w:val="false"/>
                <w:caps w:val="false"/>
                <w:color w:val="333333"/>
                <w:sz w:val="18"/>
                <w:szCs w:val="18"/>
              </w:rPr>
              <w:t xml:space="preserve">Discuss the role of human relations and emotional sensitivity in domestic relations cases.</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As an active party in contested custody proceedings involving my two minor children, I have firsthand understanding of the intersection of legal strategy and emotional sensitivity. I maintain professional, factual, non-inflammatory submissions while addressing the most personal possible subject matter — my children's welfare, safety, and educational rights.</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Tone and professional quality of all filed documents; factual, citation-supported advocacy in all submissions</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6: </w:t>
            </w:r>
            <w:r>
              <w:rPr>
                <w:rFonts w:ascii="Arial" w:cs="Arial" w:eastAsia="Arial" w:hAnsi="Arial"/>
                <w:b w:val="false"/>
                <w:bCs w:val="false"/>
                <w:i w:val="false"/>
                <w:iCs w:val="false"/>
                <w:caps w:val="false"/>
                <w:color w:val="333333"/>
                <w:sz w:val="18"/>
                <w:szCs w:val="18"/>
              </w:rPr>
              <w:t xml:space="preserve">Identify and discuss ethical concerns including client confidentiality in family law.</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managed confidential information about my minor children's welfare, education, and health with scrupulous care. I understand the PA Rules of Judicial Administration provisions governing minor identifiers in public filings and have complied with them throughout my litigation.</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Documents protecting minor children's identifying information consistent with PA R.J.A.; confidentiality maintained throughout</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7: </w:t>
            </w:r>
            <w:r>
              <w:rPr>
                <w:rFonts w:ascii="Arial" w:cs="Arial" w:eastAsia="Arial" w:hAnsi="Arial"/>
                <w:b w:val="false"/>
                <w:bCs w:val="false"/>
                <w:i w:val="false"/>
                <w:iCs w:val="false"/>
                <w:caps w:val="false"/>
                <w:color w:val="333333"/>
                <w:sz w:val="18"/>
                <w:szCs w:val="18"/>
              </w:rPr>
              <w:t xml:space="preserve">Write case briefs in FIRAC format applicable to family law.</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prepared FIRAC-structured analyses of controlling family law cases and statutes, including analysis of precedent on relocation standards and best-interest findings under § 5328 and § 5337.</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Written case analysis notes; legal memoranda applying FIRAC structure to custody and relocation issues</w:t>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2.2.2 — My Competency Narrative</w:t>
      </w:r>
    </w:p>
    <w:p>
      <w:pPr>
        <w:spacing w:after="120" w:before="80" w:line="276"/>
        <w:jc w:val="left"/>
      </w:pPr>
      <w:r>
        <w:rPr>
          <w:rFonts w:ascii="Arial" w:cs="Arial" w:eastAsia="Arial" w:hAnsi="Arial"/>
          <w:b w:val="false"/>
          <w:bCs w:val="false"/>
          <w:i w:val="false"/>
          <w:iCs w:val="false"/>
          <w:caps w:val="false"/>
          <w:color w:val="333333"/>
          <w:sz w:val="20"/>
          <w:szCs w:val="20"/>
        </w:rPr>
        <w:t xml:space="preserve">My expertise in Pennsylvania family law is not academic — it is the product of years of active, contested custody litigation in the Delaware County Court of Common Pleas involving my two minor children, S.S. and B.S. I have been the drafter, filer, researcher, and strategist in this matter since its inception. I did not have an attorney. I did not have a mentor. I learned what I needed to learn, found the applicable statutes, and filed documents that comply with court rules.</w:t>
      </w:r>
    </w:p>
    <w:p>
      <w:pPr>
        <w:spacing w:after="120" w:before="80" w:line="276"/>
        <w:jc w:val="left"/>
      </w:pPr>
      <w:r>
        <w:rPr>
          <w:rFonts w:ascii="Arial" w:cs="Arial" w:eastAsia="Arial" w:hAnsi="Arial"/>
          <w:b w:val="false"/>
          <w:bCs w:val="false"/>
          <w:i w:val="false"/>
          <w:iCs w:val="false"/>
          <w:caps w:val="false"/>
          <w:color w:val="333333"/>
          <w:sz w:val="20"/>
          <w:szCs w:val="20"/>
        </w:rPr>
        <w:t xml:space="preserve">My knowledge of 23 Pa.C.S. § 5328 — the best-interest-of-the-child standard — is not surface-level. I know all 16 statutory factors. I know that no single factor is dispositive. I know that courts must make findings of fact on each factor, and I know which factors are strongest in my matter and which require the most development. I have prepared written analysis mapping each factor to the evidentiary record — the exact type of FIRAC-based analysis that is the capstone exercise in family law courses.</w:t>
      </w:r>
    </w:p>
    <w:p>
      <w:pPr>
        <w:spacing w:after="120" w:before="80" w:line="276"/>
        <w:jc w:val="left"/>
      </w:pPr>
      <w:r>
        <w:rPr>
          <w:rFonts w:ascii="Arial" w:cs="Arial" w:eastAsia="Arial" w:hAnsi="Arial"/>
          <w:b w:val="false"/>
          <w:bCs w:val="false"/>
          <w:i w:val="false"/>
          <w:iCs w:val="false"/>
          <w:caps w:val="false"/>
          <w:color w:val="333333"/>
          <w:sz w:val="20"/>
          <w:szCs w:val="20"/>
        </w:rPr>
        <w:t xml:space="preserve">The relocation dispute in my matter has been particularly demanding. An unauthorized relocation of approximately 180 miles to Nicholson, Pennsylvania occurred without court approval and without proper notice under 23 Pa.C.S. § 5337(c). I have researched the statute's notice requirements, the objection procedures, and the burden-shifting framework that governs relocation hearings in Pennsylvania. I understand that the relocating parent bears the burden of establishing that relocation is in the best interest of the child, and I have prepared arguments that directly address each element of that burden.</w:t>
      </w:r>
    </w:p>
    <w:p>
      <w:pPr>
        <w:spacing w:after="120" w:before="80" w:line="276"/>
        <w:jc w:val="left"/>
      </w:pPr>
      <w:r>
        <w:rPr>
          <w:rFonts w:ascii="Arial" w:cs="Arial" w:eastAsia="Arial" w:hAnsi="Arial"/>
          <w:b w:val="false"/>
          <w:bCs w:val="false"/>
          <w:i w:val="false"/>
          <w:iCs w:val="false"/>
          <w:caps w:val="false"/>
          <w:color w:val="333333"/>
          <w:sz w:val="20"/>
          <w:szCs w:val="20"/>
        </w:rPr>
        <w:t xml:space="preserve">I have also researched child support under the Pennsylvania income shares model (23 Pa.C.S. § 4322; Pa.R.C.P. 1910.16), spousal support standards, contempt procedures under Pa.R.C.P. 1910.13, and emergency relief mechanisms under Pa.R.C.P. 1915.13. The breadth of my family law knowledge covers effectively the entire curriculum of LGL 200.</w:t>
      </w:r>
    </w:p>
    <w:p>
      <w:pPr>
        <w:spacing w:after="120" w:before="80" w:line="276"/>
        <w:jc w:val="left"/>
      </w:pPr>
      <w:r>
        <w:rPr>
          <w:rFonts w:ascii="Arial" w:cs="Arial" w:eastAsia="Arial" w:hAnsi="Arial"/>
          <w:b w:val="false"/>
          <w:bCs w:val="false"/>
          <w:i w:val="false"/>
          <w:iCs w:val="false"/>
          <w:caps w:val="false"/>
          <w:color w:val="333333"/>
          <w:sz w:val="20"/>
          <w:szCs w:val="20"/>
        </w:rPr>
        <w:t xml:space="preserve">What I demonstrate in family law is not just knowledge of rules — it is the judgment to apply them strategically under pressure, with real consequences for my children. That is exemplary competency.</w:t>
      </w:r>
    </w:p>
    <w:p>
      <w:pPr>
        <w:spacing w:after="120" w:before="0"/>
      </w:pPr>
    </w:p>
    <w:p>
      <w:pPr>
        <w:pStyle w:val="Heading3"/>
        <w:spacing w:after="120" w:before="220"/>
      </w:pPr>
      <w:r>
        <w:rPr>
          <w:rFonts w:ascii="Arial" w:cs="Arial" w:eastAsia="Arial" w:hAnsi="Arial"/>
          <w:b/>
          <w:bCs/>
          <w:i w:val="false"/>
          <w:iCs w:val="false"/>
          <w:caps w:val="false"/>
          <w:color w:val="2E75B6"/>
          <w:sz w:val="22"/>
          <w:szCs w:val="22"/>
        </w:rPr>
        <w:t xml:space="preserve">2.2.3 — Evidence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400"/>
        <w:gridCol w:w="3460"/>
      </w:tblGrid>
      <w:tr>
        <w:trPr>
          <w:tblHeader/>
        </w:trPr>
        <w:tc>
          <w:tcPr>
            <w:tcW w:type="dxa" w:w="29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Document / Record</w:t>
            </w:r>
          </w:p>
        </w:tc>
        <w:tc>
          <w:tcPr>
            <w:tcW w:type="dxa" w:w="16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Type</w:t>
            </w:r>
          </w:p>
        </w:tc>
        <w:tc>
          <w:tcPr>
            <w:tcW w:type="dxa" w:w="14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Date / Period</w:t>
            </w:r>
          </w:p>
        </w:tc>
        <w:tc>
          <w:tcPr>
            <w:tcW w:type="dxa" w:w="34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Course Relevance</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Delaware County CCP Custody Complaint</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Court Filing</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2019–Present</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3, 4, 5: Domestic relations law; document preparation; custody standards</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Emergency Custody Petition</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Court Filing</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2020–Present</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4, 5: Emergency relief procedures; best-interest standard; document preparation</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Opposition to Unauthorized Relocation (§ 5337)</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Court Filing</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2021–Present</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2, 3, 4: Relocation statute; FIRAC analysis; burden of proof; document preparation</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Motions for Contempt of Custody Order</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Court Filing</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Ongoing</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4: Contempt procedures; enforcement mechanisms; document preparation</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 5328 Best-Interest Factor Analysis Memorandum</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Research Memorandum</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Ongoing</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2, 3, 7: CALR research; FIRAC analysis; statutory application</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Child Support Petition and Research Notes</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Court Filing / Research</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Ongoing</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2: PA support guidelines; income shares model; Pa.R.C.P. 1910</w:t>
            </w:r>
          </w:p>
        </w:tc>
      </w:tr>
    </w:tbl>
    <w:p>
      <w:pPr>
        <w:spacing w:after="100" w:before="0"/>
      </w:pPr>
    </w:p>
    <w:p>
      <w:pPr>
        <w:pStyle w:val="Heading3"/>
        <w:spacing w:after="120" w:before="220"/>
      </w:pPr>
      <w:r>
        <w:rPr>
          <w:rFonts w:ascii="Arial" w:cs="Arial" w:eastAsia="Arial" w:hAnsi="Arial"/>
          <w:b/>
          <w:bCs/>
          <w:i w:val="false"/>
          <w:iCs w:val="false"/>
          <w:caps w:val="false"/>
          <w:color w:val="2E75B6"/>
          <w:sz w:val="22"/>
          <w:szCs w:val="22"/>
        </w:rPr>
        <w:t xml:space="preserve">2.2.4 — Rubric Self-Assessment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60"/>
        <w:gridCol w:w="1580"/>
        <w:gridCol w:w="1580"/>
        <w:gridCol w:w="1580"/>
        <w:gridCol w:w="1580"/>
        <w:gridCol w:w="1580"/>
      </w:tblGrid>
      <w:tr>
        <w:tc>
          <w:tcPr>
            <w:tcW w:type="dxa" w:w="1460"/>
            <w:tcBorders>
              <w:top w:val="single" w:color="333333" w:sz="4"/>
              <w:left w:val="single" w:color="333333" w:sz="4"/>
              <w:bottom w:val="single" w:color="333333" w:sz="4"/>
              <w:right w:val="single" w:color="333333" w:sz="4"/>
            </w:tcBorders>
            <w:shd w:fill="333333"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Criterion</w:t>
            </w:r>
          </w:p>
        </w:tc>
        <w:tc>
          <w:tcPr>
            <w:tcW w:type="dxa" w:w="1580"/>
            <w:tcBorders>
              <w:top w:val="thick" w:color="375623" w:sz="16"/>
              <w:left w:val="thick" w:color="375623" w:sz="16"/>
              <w:bottom w:val="thick" w:color="375623" w:sz="16"/>
              <w:right w:val="thick" w:color="375623" w:sz="16"/>
            </w:tcBorders>
            <w:shd w:fill="E2EFDA" w:val="clear"/>
            <w:tcMar>
              <w:top w:type="dxa" w:w="100"/>
              <w:left w:type="dxa" w:w="80"/>
              <w:bottom w:type="dxa" w:w="100"/>
              <w:right w:type="dxa" w:w="80"/>
            </w:tcMar>
            <w:vAlign w:val="center"/>
          </w:tcPr>
          <w:p>
            <w:pPr>
              <w:jc w:val="center"/>
            </w:pPr>
            <w:r>
              <w:rPr>
                <w:rFonts w:ascii="Arial" w:cs="Arial" w:eastAsia="Arial" w:hAnsi="Arial"/>
                <w:b/>
                <w:bCs/>
                <w:i w:val="false"/>
                <w:iCs w:val="false"/>
                <w:caps w:val="false"/>
                <w:color w:val="375623"/>
                <w:sz w:val="16"/>
                <w:szCs w:val="16"/>
              </w:rPr>
              <w:t xml:space="preserve">EXEMPLARY  ✓ Claimed</w:t>
            </w:r>
          </w:p>
        </w:tc>
        <w:tc>
          <w:tcPr>
            <w:tcW w:type="dxa" w:w="1580"/>
            <w:tcBorders>
              <w:top w:val="single" w:color="1F3864" w:sz="4"/>
              <w:left w:val="single" w:color="1F3864" w:sz="4"/>
              <w:bottom w:val="single" w:color="1F3864" w:sz="4"/>
              <w:right w:val="single" w:color="1F3864" w:sz="4"/>
            </w:tcBorders>
            <w:shd w:fill="DEEAF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1F3864"/>
                <w:sz w:val="16"/>
                <w:szCs w:val="16"/>
              </w:rPr>
              <w:t xml:space="preserve">PROFICIENT</w:t>
            </w:r>
          </w:p>
        </w:tc>
        <w:tc>
          <w:tcPr>
            <w:tcW w:type="dxa" w:w="1580"/>
            <w:tcBorders>
              <w:top w:val="single" w:color="7F6000" w:sz="4"/>
              <w:left w:val="single" w:color="7F6000" w:sz="4"/>
              <w:bottom w:val="single" w:color="7F6000" w:sz="4"/>
              <w:right w:val="single" w:color="7F6000" w:sz="4"/>
            </w:tcBorders>
            <w:shd w:fill="FFF2CC"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F6000"/>
                <w:sz w:val="16"/>
                <w:szCs w:val="16"/>
              </w:rPr>
              <w:t xml:space="preserve">COMPETENT</w:t>
            </w:r>
          </w:p>
        </w:tc>
        <w:tc>
          <w:tcPr>
            <w:tcW w:type="dxa" w:w="1580"/>
            <w:tcBorders>
              <w:top w:val="single" w:color="843C0C" w:sz="4"/>
              <w:left w:val="single" w:color="843C0C" w:sz="4"/>
              <w:bottom w:val="single" w:color="843C0C" w:sz="4"/>
              <w:right w:val="single" w:color="843C0C" w:sz="4"/>
            </w:tcBorders>
            <w:shd w:fill="FCE4D6"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843C0C"/>
                <w:sz w:val="16"/>
                <w:szCs w:val="16"/>
              </w:rPr>
              <w:t xml:space="preserve">DEVELOPING</w:t>
            </w:r>
          </w:p>
        </w:tc>
        <w:tc>
          <w:tcPr>
            <w:tcW w:type="dxa" w:w="1580"/>
            <w:tcBorders>
              <w:top w:val="single" w:color="7B0000" w:sz="4"/>
              <w:left w:val="single" w:color="7B0000" w:sz="4"/>
              <w:bottom w:val="single" w:color="7B0000" w:sz="4"/>
              <w:right w:val="single" w:color="7B0000" w:sz="4"/>
            </w:tcBorders>
            <w:shd w:fill="FFDFD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B0000"/>
                <w:sz w:val="16"/>
                <w:szCs w:val="16"/>
              </w:rPr>
              <w:t xml:space="preserve">INSUFFICIENT</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Level Description</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Exceeds all learning outcomes; independent mastery; could serve as a teaching example</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all learning outcomes with minimal guidance; demonstrates understanding and application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most learning outcomes; demonstrates adequate understanding with some gaps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some learning outcomes; demonstrates basic awareness but significant gaps remain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Fails to meet most learning outcomes; insufficient evidence of prior learning</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Family Law Knowledge</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have applied the full scope of PA domestic relations law — §§ 5321-5340 custody, § 5337 relocation, § 4301 support — in active contested proceedings in Delaware County CCP over several years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Document Preparation</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personally prepared every document in my custody matter: complaints, emergency petitions, contempt motions, opposition to relocation — all in compliance with Pa.R.C.P. formatting and filing requirements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FIRAC Analysis</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have written detailed FIRAC-structured analyses of the § 5328 best-interest factors and § 5337 relocation standards as applied to the specific facts of my matter</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Professional Conduct and Ethics</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have maintained professional, citation-supported written advocacy throughout deeply personal litigation, protecting minor children's identifying information and adhering to ethical obligations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bl>
    <w:p>
      <w:r>
        <w:br w:type="page"/>
      </w:r>
    </w:p>
    <w:p>
      <w:pPr>
        <w:pStyle w:val="Heading2"/>
        <w:spacing w:after="120" w:before="220"/>
      </w:pPr>
      <w:r>
        <w:rPr>
          <w:rFonts w:ascii="Arial" w:cs="Arial" w:eastAsia="Arial" w:hAnsi="Arial"/>
          <w:b/>
          <w:bCs/>
          <w:i w:val="false"/>
          <w:iCs w:val="false"/>
          <w:caps w:val="false"/>
          <w:color w:val="1F3864"/>
          <w:sz w:val="26"/>
          <w:szCs w:val="26"/>
        </w:rPr>
        <w:t xml:space="preserve">Section 2.3 — LGL 210: Civil Litigation and Tort Principles</w:t>
      </w:r>
    </w:p>
    <w:p>
      <w:pPr>
        <w:pBdr>
          <w:bottom w:val="single" w:color="2E75B6" w:sz="8" w:space="1"/>
        </w:pBdr>
        <w:spacing w:after="1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560"/>
        <w:gridCol w:w="1000"/>
      </w:tblGrid>
      <w:tr>
        <w:tc>
          <w:tcPr>
            <w:tcW w:type="dxa" w:w="1800"/>
            <w:tcBorders>
              <w:top w:val="single" w:color="1F6B75" w:sz="4"/>
              <w:left w:val="single" w:color="1F6B75" w:sz="4"/>
              <w:bottom w:val="single" w:color="1F6B75" w:sz="4"/>
              <w:right w:val="single" w:color="1F6B75" w:sz="4"/>
            </w:tcBorders>
            <w:shd w:fill="1F6B75"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LGL 210</w:t>
            </w:r>
          </w:p>
        </w:tc>
        <w:tc>
          <w:tcPr>
            <w:tcW w:type="dxa" w:w="65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Civil Litigation and Tort Principles</w:t>
            </w:r>
          </w:p>
        </w:tc>
        <w:tc>
          <w:tcPr>
            <w:tcW w:type="dxa" w:w="1000"/>
            <w:tcBorders>
              <w:top w:val="single" w:color="2E75B6" w:sz="4"/>
              <w:left w:val="single" w:color="2E75B6" w:sz="4"/>
              <w:bottom w:val="single" w:color="2E75B6" w:sz="4"/>
              <w:right w:val="single" w:color="2E75B6" w:sz="4"/>
            </w:tcBorders>
            <w:shd w:fill="2E75B6"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3 Credits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Catalog Description</w:t>
            </w:r>
          </w:p>
        </w:tc>
        <w:tc>
          <w:tcPr>
            <w:tcW w:type="dxa" w:w="75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Principles of civil litigation: party identification, discovery, pleading, motions, trial procedure. Introduction to tort law including negligence, strict liability, intentional torts, and the constitutional tort framework. Emphasis on civil procedure compliance and document preparation.</w:t>
            </w:r>
          </w:p>
        </w:tc>
      </w:tr>
      <w:tr>
        <w:tc>
          <w:tcPr>
            <w:tcW w:type="dxa" w:w="18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FFFFFF"/>
                <w:sz w:val="18"/>
                <w:szCs w:val="18"/>
              </w:rPr>
              <w:t xml:space="preserve">My PLA Basis</w:t>
            </w:r>
          </w:p>
        </w:tc>
        <w:tc>
          <w:tcPr>
            <w:tcW w:type="dxa" w:w="75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independently prepared a 42 U.S.C. § 1983 federal civil rights complaint for filing in the United States District Court for the Eastern District of Pennsylvania. This required mastery of FRCP pleading standards, constitutional tort doctrine, § 1983 element analysis, qualified immunity research, Monell policy claims, and civil discovery procedures. This is the highest-difficulty civil litigation work LGL 210 addresses.</w:t>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2.3.1 — Learning Outcomes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200"/>
        <w:gridCol w:w="2800"/>
      </w:tblGrid>
      <w:tr>
        <w:trPr>
          <w:tblHeader/>
        </w:trPr>
        <w:tc>
          <w:tcPr>
            <w:tcW w:type="dxa" w:w="33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Learning Outcome (DCCC Catalog)</w:t>
            </w:r>
          </w:p>
        </w:tc>
        <w:tc>
          <w:tcPr>
            <w:tcW w:type="dxa" w:w="32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My Demonstrated Competency / Experience</w:t>
            </w:r>
          </w:p>
        </w:tc>
        <w:tc>
          <w:tcPr>
            <w:tcW w:type="dxa" w:w="28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Supporting Documentation</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1: </w:t>
            </w:r>
            <w:r>
              <w:rPr>
                <w:rFonts w:ascii="Arial" w:cs="Arial" w:eastAsia="Arial" w:hAnsi="Arial"/>
                <w:b w:val="false"/>
                <w:bCs w:val="false"/>
                <w:i w:val="false"/>
                <w:iCs w:val="false"/>
                <w:caps w:val="false"/>
                <w:color w:val="333333"/>
                <w:sz w:val="18"/>
                <w:szCs w:val="18"/>
              </w:rPr>
              <w:t xml:space="preserve">Identify parties and pleading requirements in civil litigation.</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identified and analyzed all required parties in my § 1983 action: individual defendants sued in their individual and official capacities; the municipal defendant under Monell; and plaintiff standing. I have structured pleadings consistent with FRCP 8(a) notice pleading requirements as interpreted by Iqbal/Twombly.</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 1983 complaint draft; party identification analysis; Iqbal/Twombly pleading standard research</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2: </w:t>
            </w:r>
            <w:r>
              <w:rPr>
                <w:rFonts w:ascii="Arial" w:cs="Arial" w:eastAsia="Arial" w:hAnsi="Arial"/>
                <w:b w:val="false"/>
                <w:bCs w:val="false"/>
                <w:i w:val="false"/>
                <w:iCs w:val="false"/>
                <w:caps w:val="false"/>
                <w:color w:val="333333"/>
                <w:sz w:val="18"/>
                <w:szCs w:val="18"/>
              </w:rPr>
              <w:t xml:space="preserve">Identify and apply civil discovery rules and procedures.</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researched and applied FRCP Rules 26-37 governing discovery. I have prepared Rule 34 document requests, Rule 33 interrogatories, and Rule 36 requests for admission targeted to my civil rights claims. I understand the scope of discoverable information, the attorney-client privilege in the pro se context, and document preservation obligations.</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Discovery request drafts (Rule 33, 34, 36); research into FRCP discovery scope and limitations</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3: </w:t>
            </w:r>
            <w:r>
              <w:rPr>
                <w:rFonts w:ascii="Arial" w:cs="Arial" w:eastAsia="Arial" w:hAnsi="Arial"/>
                <w:b w:val="false"/>
                <w:bCs w:val="false"/>
                <w:i w:val="false"/>
                <w:iCs w:val="false"/>
                <w:caps w:val="false"/>
                <w:color w:val="333333"/>
                <w:sz w:val="18"/>
                <w:szCs w:val="18"/>
              </w:rPr>
              <w:t xml:space="preserve">Identify and apply tort principles including negligence and intentional torts.</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researched and applied the elements of constitutional tort under § 1983 (deprivation of a right secured by the Constitution, under color of state law), analyzed Fourth and Fourteenth Amendment violations as actionable torts, and researched the intentional conduct standard applicable to due process claims.</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 1983 complaint causes of action; legal research on constitutional tort doctrine; Fourth and Fourteenth Amendment analysis</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4: </w:t>
            </w:r>
            <w:r>
              <w:rPr>
                <w:rFonts w:ascii="Arial" w:cs="Arial" w:eastAsia="Arial" w:hAnsi="Arial"/>
                <w:b w:val="false"/>
                <w:bCs w:val="false"/>
                <w:i w:val="false"/>
                <w:iCs w:val="false"/>
                <w:caps w:val="false"/>
                <w:color w:val="333333"/>
                <w:sz w:val="18"/>
                <w:szCs w:val="18"/>
              </w:rPr>
              <w:t xml:space="preserve">Identify the elements of a civil rights action under 42 U.S.C. § 1983.</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fully researched the § 1983 framework: the 'under color of state law' requirement, the 'deprivation of a constitutional right' element, the pleading standard post-Iqbal, and the available remedies including compensatory and punitive damages, injunctive relief, and attorney's fees under 42 U.S.C. § 1988.</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 1983 complaint with element-by-element analysis; legal research memoranda on color of law, constitutional deprivation, and Monell liability</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5: </w:t>
            </w:r>
            <w:r>
              <w:rPr>
                <w:rFonts w:ascii="Arial" w:cs="Arial" w:eastAsia="Arial" w:hAnsi="Arial"/>
                <w:b w:val="false"/>
                <w:bCs w:val="false"/>
                <w:i w:val="false"/>
                <w:iCs w:val="false"/>
                <w:caps w:val="false"/>
                <w:color w:val="333333"/>
                <w:sz w:val="18"/>
                <w:szCs w:val="18"/>
              </w:rPr>
              <w:t xml:space="preserve">Identify and apply procedural motion practice in civil litigation.</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researched FRCP Rule 12 motion practice including Rule 12(b)(6) motions to dismiss, Rule 12(c) motions for judgment on the pleadings, and Rule 56 motions for summary judgment. I have prepared responses to anticipated motions to dismiss and researched the standards courts apply in evaluating those motions.</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Motion practice research; anticipated 12(b)(6) response preparation; summary judgment standard analysis</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6: </w:t>
            </w:r>
            <w:r>
              <w:rPr>
                <w:rFonts w:ascii="Arial" w:cs="Arial" w:eastAsia="Arial" w:hAnsi="Arial"/>
                <w:b w:val="false"/>
                <w:bCs w:val="false"/>
                <w:i w:val="false"/>
                <w:iCs w:val="false"/>
                <w:caps w:val="false"/>
                <w:color w:val="333333"/>
                <w:sz w:val="18"/>
                <w:szCs w:val="18"/>
              </w:rPr>
              <w:t xml:space="preserve">Prepare civil litigation documents including complaints, motions, and discovery.</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prepared a complete § 1983 federal complaint with numbered factual allegations, jurisdictional statement, causes of action, and prayer for relief. I have prepared discovery requests, motion drafts, and supporting memoranda of law — all formatted for USDC EDPA filing.</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 1983 complaint draft; USDC EDPA local rule compliance; discovery drafts; memoranda of law</w:t>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2.3.2 — My Competency Narrative</w:t>
      </w:r>
    </w:p>
    <w:p>
      <w:pPr>
        <w:spacing w:after="120" w:before="80" w:line="276"/>
        <w:jc w:val="left"/>
      </w:pPr>
      <w:r>
        <w:rPr>
          <w:rFonts w:ascii="Arial" w:cs="Arial" w:eastAsia="Arial" w:hAnsi="Arial"/>
          <w:b w:val="false"/>
          <w:bCs w:val="false"/>
          <w:i w:val="false"/>
          <w:iCs w:val="false"/>
          <w:caps w:val="false"/>
          <w:color w:val="333333"/>
          <w:sz w:val="20"/>
          <w:szCs w:val="20"/>
        </w:rPr>
        <w:t xml:space="preserve">Civil litigation and tort principles are not abstract for me. I am actively preparing a federal civil rights case under 42 U.S.C. § 1983 for filing in the United States District Court for the Eastern District of Pennsylvania. Every competency that LGL 210 teaches, I have developed by doing the actual work.</w:t>
      </w:r>
    </w:p>
    <w:p>
      <w:pPr>
        <w:spacing w:after="120" w:before="80" w:line="276"/>
        <w:jc w:val="left"/>
      </w:pPr>
      <w:r>
        <w:rPr>
          <w:rFonts w:ascii="Arial" w:cs="Arial" w:eastAsia="Arial" w:hAnsi="Arial"/>
          <w:b w:val="false"/>
          <w:bCs w:val="false"/>
          <w:i w:val="false"/>
          <w:iCs w:val="false"/>
          <w:caps w:val="false"/>
          <w:color w:val="333333"/>
          <w:sz w:val="20"/>
          <w:szCs w:val="20"/>
        </w:rPr>
        <w:t xml:space="preserve">The § 1983 framework is demanding. To plead a viable civil rights claim, I had to understand that § 1983 does not create substantive rights — it is a vehicle for vindicating rights guaranteed by the Constitution or federal law. I had to identify the constitutional provisions at issue (the Fourth Amendment for unreasonable searches; the Fourteenth Amendment for due process and equal protection), establish that the conduct occurred under color of state law, and plead facts sufficient to survive a motion to dismiss under the Iqbal/Twombly standard. I researched all of this independently and applied it in a pleading that is ready for filing.</w:t>
      </w:r>
    </w:p>
    <w:p>
      <w:pPr>
        <w:spacing w:after="120" w:before="80" w:line="276"/>
        <w:jc w:val="left"/>
      </w:pPr>
      <w:r>
        <w:rPr>
          <w:rFonts w:ascii="Arial" w:cs="Arial" w:eastAsia="Arial" w:hAnsi="Arial"/>
          <w:b w:val="false"/>
          <w:bCs w:val="false"/>
          <w:i w:val="false"/>
          <w:iCs w:val="false"/>
          <w:caps w:val="false"/>
          <w:color w:val="333333"/>
          <w:sz w:val="20"/>
          <w:szCs w:val="20"/>
        </w:rPr>
        <w:t xml:space="preserve">I also researched Monell v. Department of Social Services, 436 U.S. 658 (1978), and the standards for municipal liability in § 1983 actions. I understand that a municipality is not liable under respondeat superior — liability requires proof of an unconstitutional custom, policy, or practice, or a failure to train that amounts to deliberate indifference. I drafted Monell claims in my complaint that are grounded in documented facts about institutional conduct.</w:t>
      </w:r>
    </w:p>
    <w:p>
      <w:pPr>
        <w:spacing w:after="120" w:before="80" w:line="276"/>
        <w:jc w:val="left"/>
      </w:pPr>
      <w:r>
        <w:rPr>
          <w:rFonts w:ascii="Arial" w:cs="Arial" w:eastAsia="Arial" w:hAnsi="Arial"/>
          <w:b w:val="false"/>
          <w:bCs w:val="false"/>
          <w:i w:val="false"/>
          <w:iCs w:val="false"/>
          <w:caps w:val="false"/>
          <w:color w:val="333333"/>
          <w:sz w:val="20"/>
          <w:szCs w:val="20"/>
        </w:rPr>
        <w:t xml:space="preserve">On the procedural side, I have mastered the Federal Rules of Civil Procedure as they apply to my case. I know the FRCP 8(a) pleading requirements, FRCP 12 motion practice, FRCP 26-37 discovery procedures, and FRCP 56 summary judgment standards. I have prepared Rule 33 interrogatories, Rule 34 document production requests, and Rule 36 requests for admission — targeted to the specific issues in my civil rights claims. I have researched the USDC EDPA local rules and formatted my documents accordingly.</w:t>
      </w:r>
    </w:p>
    <w:p>
      <w:pPr>
        <w:spacing w:after="120" w:before="80" w:line="276"/>
        <w:jc w:val="left"/>
      </w:pPr>
      <w:r>
        <w:rPr>
          <w:rFonts w:ascii="Arial" w:cs="Arial" w:eastAsia="Arial" w:hAnsi="Arial"/>
          <w:b w:val="false"/>
          <w:bCs w:val="false"/>
          <w:i w:val="false"/>
          <w:iCs w:val="false"/>
          <w:caps w:val="false"/>
          <w:color w:val="333333"/>
          <w:sz w:val="20"/>
          <w:szCs w:val="20"/>
        </w:rPr>
        <w:t xml:space="preserve">In terms of tort doctrine, my § 1983 work has required me to understand constitutional torts — violations of constitutional rights actionable as tort-like injuries under federal law. I have also researched state law tort claims under the Pennsylvania Political Subdivision Tort Claims Act (42 Pa.C.S. § 8541 et seq.) and the governmental immunity landscape that affects my claims. This is advanced civil litigation knowledge that exceeds the scope of LGL 210 — placing my competency at the Exemplary level.</w:t>
      </w:r>
    </w:p>
    <w:p>
      <w:pPr>
        <w:spacing w:after="120" w:before="0"/>
      </w:pPr>
    </w:p>
    <w:p>
      <w:pPr>
        <w:pStyle w:val="Heading3"/>
        <w:spacing w:after="120" w:before="220"/>
      </w:pPr>
      <w:r>
        <w:rPr>
          <w:rFonts w:ascii="Arial" w:cs="Arial" w:eastAsia="Arial" w:hAnsi="Arial"/>
          <w:b/>
          <w:bCs/>
          <w:i w:val="false"/>
          <w:iCs w:val="false"/>
          <w:caps w:val="false"/>
          <w:color w:val="2E75B6"/>
          <w:sz w:val="22"/>
          <w:szCs w:val="22"/>
        </w:rPr>
        <w:t xml:space="preserve">2.3.3 — Evidence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400"/>
        <w:gridCol w:w="3460"/>
      </w:tblGrid>
      <w:tr>
        <w:trPr>
          <w:tblHeader/>
        </w:trPr>
        <w:tc>
          <w:tcPr>
            <w:tcW w:type="dxa" w:w="29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Document / Record</w:t>
            </w:r>
          </w:p>
        </w:tc>
        <w:tc>
          <w:tcPr>
            <w:tcW w:type="dxa" w:w="16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Type</w:t>
            </w:r>
          </w:p>
        </w:tc>
        <w:tc>
          <w:tcPr>
            <w:tcW w:type="dxa" w:w="14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Date / Period</w:t>
            </w:r>
          </w:p>
        </w:tc>
        <w:tc>
          <w:tcPr>
            <w:tcW w:type="dxa" w:w="34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Course Relevance</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42 U.S.C. § 1983 Federal Civil Rights Complaint</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Court Filing Draft</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2021–Present</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3, 4, 5, 6: § 1983 elements; constitutional tort; FRCP pleading; party identification; motion practice preparation</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Monell Liability Research Memorandum</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Research Memorandum</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2022–Present</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3, 4: Municipal liability; unconstitutional policy/custom; deliberate indifference standard</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FRCP Discovery Drafts (Rules 33, 34, 36)</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Discovery Documents</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Ongoing</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2, 6: Civil discovery rules; document production; interrogatories; requests for admission</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Iqbal/Twombly Pleading Standard Research</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Legal Research</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Ongoing</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4, 5: Federal pleading standard; 12(b)(6) motion defense; notice pleading</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USDC EDPA Local Rules Compliance Research</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Procedural Research</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Ongoing</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6: Federal district court local rules; filing procedures; formatting compliance</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4th and 14th Amendment Analysis Memoranda</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Research Memoranda</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Ongoing</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3, 4: Constitutional tort doctrine; unreasonable search; due process; equal protection</w:t>
            </w:r>
          </w:p>
        </w:tc>
      </w:tr>
    </w:tbl>
    <w:p>
      <w:pPr>
        <w:spacing w:after="100" w:before="0"/>
      </w:pPr>
    </w:p>
    <w:p>
      <w:pPr>
        <w:pStyle w:val="Heading3"/>
        <w:spacing w:after="120" w:before="220"/>
      </w:pPr>
      <w:r>
        <w:rPr>
          <w:rFonts w:ascii="Arial" w:cs="Arial" w:eastAsia="Arial" w:hAnsi="Arial"/>
          <w:b/>
          <w:bCs/>
          <w:i w:val="false"/>
          <w:iCs w:val="false"/>
          <w:caps w:val="false"/>
          <w:color w:val="2E75B6"/>
          <w:sz w:val="22"/>
          <w:szCs w:val="22"/>
        </w:rPr>
        <w:t xml:space="preserve">2.3.4 — Rubric Self-Assessment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60"/>
        <w:gridCol w:w="1580"/>
        <w:gridCol w:w="1580"/>
        <w:gridCol w:w="1580"/>
        <w:gridCol w:w="1580"/>
        <w:gridCol w:w="1580"/>
      </w:tblGrid>
      <w:tr>
        <w:tc>
          <w:tcPr>
            <w:tcW w:type="dxa" w:w="1460"/>
            <w:tcBorders>
              <w:top w:val="single" w:color="333333" w:sz="4"/>
              <w:left w:val="single" w:color="333333" w:sz="4"/>
              <w:bottom w:val="single" w:color="333333" w:sz="4"/>
              <w:right w:val="single" w:color="333333" w:sz="4"/>
            </w:tcBorders>
            <w:shd w:fill="333333"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Criterion</w:t>
            </w:r>
          </w:p>
        </w:tc>
        <w:tc>
          <w:tcPr>
            <w:tcW w:type="dxa" w:w="1580"/>
            <w:tcBorders>
              <w:top w:val="thick" w:color="375623" w:sz="16"/>
              <w:left w:val="thick" w:color="375623" w:sz="16"/>
              <w:bottom w:val="thick" w:color="375623" w:sz="16"/>
              <w:right w:val="thick" w:color="375623" w:sz="16"/>
            </w:tcBorders>
            <w:shd w:fill="E2EFDA" w:val="clear"/>
            <w:tcMar>
              <w:top w:type="dxa" w:w="100"/>
              <w:left w:type="dxa" w:w="80"/>
              <w:bottom w:type="dxa" w:w="100"/>
              <w:right w:type="dxa" w:w="80"/>
            </w:tcMar>
            <w:vAlign w:val="center"/>
          </w:tcPr>
          <w:p>
            <w:pPr>
              <w:jc w:val="center"/>
            </w:pPr>
            <w:r>
              <w:rPr>
                <w:rFonts w:ascii="Arial" w:cs="Arial" w:eastAsia="Arial" w:hAnsi="Arial"/>
                <w:b/>
                <w:bCs/>
                <w:i w:val="false"/>
                <w:iCs w:val="false"/>
                <w:caps w:val="false"/>
                <w:color w:val="375623"/>
                <w:sz w:val="16"/>
                <w:szCs w:val="16"/>
              </w:rPr>
              <w:t xml:space="preserve">EXEMPLARY  ✓ Claimed</w:t>
            </w:r>
          </w:p>
        </w:tc>
        <w:tc>
          <w:tcPr>
            <w:tcW w:type="dxa" w:w="1580"/>
            <w:tcBorders>
              <w:top w:val="single" w:color="1F3864" w:sz="4"/>
              <w:left w:val="single" w:color="1F3864" w:sz="4"/>
              <w:bottom w:val="single" w:color="1F3864" w:sz="4"/>
              <w:right w:val="single" w:color="1F3864" w:sz="4"/>
            </w:tcBorders>
            <w:shd w:fill="DEEAF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1F3864"/>
                <w:sz w:val="16"/>
                <w:szCs w:val="16"/>
              </w:rPr>
              <w:t xml:space="preserve">PROFICIENT</w:t>
            </w:r>
          </w:p>
        </w:tc>
        <w:tc>
          <w:tcPr>
            <w:tcW w:type="dxa" w:w="1580"/>
            <w:tcBorders>
              <w:top w:val="single" w:color="7F6000" w:sz="4"/>
              <w:left w:val="single" w:color="7F6000" w:sz="4"/>
              <w:bottom w:val="single" w:color="7F6000" w:sz="4"/>
              <w:right w:val="single" w:color="7F6000" w:sz="4"/>
            </w:tcBorders>
            <w:shd w:fill="FFF2CC"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F6000"/>
                <w:sz w:val="16"/>
                <w:szCs w:val="16"/>
              </w:rPr>
              <w:t xml:space="preserve">COMPETENT</w:t>
            </w:r>
          </w:p>
        </w:tc>
        <w:tc>
          <w:tcPr>
            <w:tcW w:type="dxa" w:w="1580"/>
            <w:tcBorders>
              <w:top w:val="single" w:color="843C0C" w:sz="4"/>
              <w:left w:val="single" w:color="843C0C" w:sz="4"/>
              <w:bottom w:val="single" w:color="843C0C" w:sz="4"/>
              <w:right w:val="single" w:color="843C0C" w:sz="4"/>
            </w:tcBorders>
            <w:shd w:fill="FCE4D6"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843C0C"/>
                <w:sz w:val="16"/>
                <w:szCs w:val="16"/>
              </w:rPr>
              <w:t xml:space="preserve">DEVELOPING</w:t>
            </w:r>
          </w:p>
        </w:tc>
        <w:tc>
          <w:tcPr>
            <w:tcW w:type="dxa" w:w="1580"/>
            <w:tcBorders>
              <w:top w:val="single" w:color="7B0000" w:sz="4"/>
              <w:left w:val="single" w:color="7B0000" w:sz="4"/>
              <w:bottom w:val="single" w:color="7B0000" w:sz="4"/>
              <w:right w:val="single" w:color="7B0000" w:sz="4"/>
            </w:tcBorders>
            <w:shd w:fill="FFDFD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B0000"/>
                <w:sz w:val="16"/>
                <w:szCs w:val="16"/>
              </w:rPr>
              <w:t xml:space="preserve">INSUFFICIENT</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Level Description</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Exceeds all learning outcomes; independent mastery; could serve as a teaching example</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all learning outcomes with minimal guidance; demonstrates understanding and application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most learning outcomes; demonstrates adequate understanding with some gaps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some learning outcomes; demonstrates basic awareness but significant gaps remain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Fails to meet most learning outcomes; insufficient evidence of prior learning</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Civil Procedure Knowledge</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have applied FRCP 8, 12, 26-37, and 56 in preparing a federal civil complaint and anticipating responsive motions — in an active USDC EDPA matter with real legal consequences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 1983 and Constitutional Tort</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have independently researched and applied the § 1983 framework including color of law, constitutional deprivation, Monell municipal liability, and Iqbal/Twombly pleading standards at a level exceeding LGL 210's curriculum</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Document Preparation</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have prepared a complete federal complaint, discovery requests, and supporting memoranda of law formatted for USDC EDPA — not as classroom exercises, but as operational legal documents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Analytical Competency</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conduct element-by-element legal analysis, anticipate defensive arguments, research qualified immunity, and structure claims for survivability through motion practice</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60"/>
              <w:left w:type="dxa" w:w="280"/>
              <w:bottom w:type="dxa" w:w="160"/>
              <w:right w:type="dxa" w:w="280"/>
            </w:tcMar>
          </w:tcPr>
          <w:p>
            <w:pPr>
              <w:jc w:val="center"/>
            </w:pPr>
            <w:r>
              <w:rPr>
                <w:rFonts w:ascii="Arial" w:cs="Arial" w:eastAsia="Arial" w:hAnsi="Arial"/>
                <w:b/>
                <w:bCs/>
                <w:i w:val="false"/>
                <w:iCs w:val="false"/>
                <w:caps/>
                <w:color w:val="FFFFFF"/>
                <w:sz w:val="24"/>
                <w:szCs w:val="24"/>
              </w:rPr>
              <w:t xml:space="preserve">Part III: General Education PLA Submissions (37 Credits — 13 Courses)</w:t>
            </w:r>
          </w:p>
        </w:tc>
      </w:tr>
    </w:tbl>
    <w:p>
      <w:pPr>
        <w:spacing w:after="200" w:before="0"/>
      </w:pPr>
    </w:p>
    <w:p>
      <w:pPr>
        <w:pStyle w:val="Heading2"/>
        <w:spacing w:after="120" w:before="220"/>
      </w:pPr>
      <w:r>
        <w:rPr>
          <w:rFonts w:ascii="Arial" w:cs="Arial" w:eastAsia="Arial" w:hAnsi="Arial"/>
          <w:b/>
          <w:bCs/>
          <w:i w:val="false"/>
          <w:iCs w:val="false"/>
          <w:caps w:val="false"/>
          <w:color w:val="1F3864"/>
          <w:sz w:val="26"/>
          <w:szCs w:val="26"/>
        </w:rPr>
        <w:t xml:space="preserve">Section 3.1 — ENG 100: English Composition I</w:t>
      </w:r>
    </w:p>
    <w:p>
      <w:pPr>
        <w:pBdr>
          <w:bottom w:val="single" w:color="2E75B6" w:sz="8" w:space="1"/>
        </w:pBdr>
        <w:spacing w:after="1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560"/>
        <w:gridCol w:w="1000"/>
      </w:tblGrid>
      <w:tr>
        <w:tc>
          <w:tcPr>
            <w:tcW w:type="dxa" w:w="1800"/>
            <w:tcBorders>
              <w:top w:val="single" w:color="1F6B75" w:sz="4"/>
              <w:left w:val="single" w:color="1F6B75" w:sz="4"/>
              <w:bottom w:val="single" w:color="1F6B75" w:sz="4"/>
              <w:right w:val="single" w:color="1F6B75" w:sz="4"/>
            </w:tcBorders>
            <w:shd w:fill="1F6B75"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ENG 100</w:t>
            </w:r>
          </w:p>
        </w:tc>
        <w:tc>
          <w:tcPr>
            <w:tcW w:type="dxa" w:w="65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English Composition I</w:t>
            </w:r>
          </w:p>
        </w:tc>
        <w:tc>
          <w:tcPr>
            <w:tcW w:type="dxa" w:w="1000"/>
            <w:tcBorders>
              <w:top w:val="single" w:color="2E75B6" w:sz="4"/>
              <w:left w:val="single" w:color="2E75B6" w:sz="4"/>
              <w:bottom w:val="single" w:color="2E75B6" w:sz="4"/>
              <w:right w:val="single" w:color="2E75B6" w:sz="4"/>
            </w:tcBorders>
            <w:shd w:fill="2E75B6"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3 Credits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Catalog Description</w:t>
            </w:r>
          </w:p>
        </w:tc>
        <w:tc>
          <w:tcPr>
            <w:tcW w:type="dxa" w:w="75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Development of college-level writing skills: paragraph organization, thesis development, essay structure, argument construction, research integration, and revision. Emphasis on clear, effective analytical and expository prose. Writing Competency (WC), Information Literacy (IL), and Critical Reasoning (CR) designated.</w:t>
            </w:r>
          </w:p>
        </w:tc>
      </w:tr>
      <w:tr>
        <w:tc>
          <w:tcPr>
            <w:tcW w:type="dxa" w:w="18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FFFFFF"/>
                <w:sz w:val="18"/>
                <w:szCs w:val="18"/>
              </w:rPr>
              <w:t xml:space="preserve">My PLA Basis</w:t>
            </w:r>
          </w:p>
        </w:tc>
        <w:tc>
          <w:tcPr>
            <w:tcW w:type="dxa" w:w="75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written thousands of pages of structured, formal prose over the past decade — legal memoranda, court filings, administrative appeals, RTKL requests, FERPA correspondence, and AmeriCorps project reports. Additionally, I completed two full terms of AmeriCorps NCCC service (3,629 total hours across two federal terms), each requiring sustained professional writing in formal reporting contexts. My writing competency is not developing — it is fully operational.</w:t>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3.1.1 — Learning Outcomes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200"/>
        <w:gridCol w:w="2800"/>
      </w:tblGrid>
      <w:tr>
        <w:trPr>
          <w:tblHeader/>
        </w:trPr>
        <w:tc>
          <w:tcPr>
            <w:tcW w:type="dxa" w:w="33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Learning Outcome (DCCC Catalog)</w:t>
            </w:r>
          </w:p>
        </w:tc>
        <w:tc>
          <w:tcPr>
            <w:tcW w:type="dxa" w:w="32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My Demonstrated Competency / Experience</w:t>
            </w:r>
          </w:p>
        </w:tc>
        <w:tc>
          <w:tcPr>
            <w:tcW w:type="dxa" w:w="28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Supporting Documentation</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1: </w:t>
            </w:r>
            <w:r>
              <w:rPr>
                <w:rFonts w:ascii="Arial" w:cs="Arial" w:eastAsia="Arial" w:hAnsi="Arial"/>
                <w:b w:val="false"/>
                <w:bCs w:val="false"/>
                <w:i w:val="false"/>
                <w:iCs w:val="false"/>
                <w:caps w:val="false"/>
                <w:color w:val="333333"/>
                <w:sz w:val="18"/>
                <w:szCs w:val="18"/>
              </w:rPr>
              <w:t xml:space="preserve">Develop focused, arguable thesis statements and supporting arguments.</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Every document I have drafted in litigation begins with a position: a claim, a legal theory, or a factual argument that must be developed and supported. My § 1983 complaint asserts specific constitutional violations; my custody filings argue specific best-interest positions; my RTKL appeals assert specific legal entitlements. These are the functional equivalent of thesis-driven argumentative essays.</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 1983 complaint; custody motions; RTKL appeals to OOR — all with identifiable central arguments supported by factual development and legal authority</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2: </w:t>
            </w:r>
            <w:r>
              <w:rPr>
                <w:rFonts w:ascii="Arial" w:cs="Arial" w:eastAsia="Arial" w:hAnsi="Arial"/>
                <w:b w:val="false"/>
                <w:bCs w:val="false"/>
                <w:i w:val="false"/>
                <w:iCs w:val="false"/>
                <w:caps w:val="false"/>
                <w:color w:val="333333"/>
                <w:sz w:val="18"/>
                <w:szCs w:val="18"/>
              </w:rPr>
              <w:t xml:space="preserve">Organize writing effectively using standard essay structures.</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My legal documents follow strict structural conventions: introduction/background, statement of facts, argument sections with IRAC structure, and conclusion/prayer for relief. This mirrors the rhetorical organization of academic writing — contextualization, development, evidence, conclusion. I apply this structure consistently and at a high level.</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Federal complaint with numbered sections; memoranda of law with organized argument headers; administrative appeal letters with formal opening, body, and closing</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3: </w:t>
            </w:r>
            <w:r>
              <w:rPr>
                <w:rFonts w:ascii="Arial" w:cs="Arial" w:eastAsia="Arial" w:hAnsi="Arial"/>
                <w:b w:val="false"/>
                <w:bCs w:val="false"/>
                <w:i w:val="false"/>
                <w:iCs w:val="false"/>
                <w:caps w:val="false"/>
                <w:color w:val="333333"/>
                <w:sz w:val="18"/>
                <w:szCs w:val="18"/>
              </w:rPr>
              <w:t xml:space="preserve">Integrate sources, quotations, and evidence appropriately.</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routinely integrate primary sources — statutory text, case law, regulatory text — into my written arguments with proper citation. I use statutory quotations to establish the applicable standard, then apply the law to the facts. My AmeriCorps reporting also required integrating community data, project metrics, and organizational sources.</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Legal filings with statutory quotations and case citations; FERPA correspondence with regulatory citation; AmeriCorps project reports integrating community data</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4: </w:t>
            </w:r>
            <w:r>
              <w:rPr>
                <w:rFonts w:ascii="Arial" w:cs="Arial" w:eastAsia="Arial" w:hAnsi="Arial"/>
                <w:b w:val="false"/>
                <w:bCs w:val="false"/>
                <w:i w:val="false"/>
                <w:iCs w:val="false"/>
                <w:caps w:val="false"/>
                <w:color w:val="333333"/>
                <w:sz w:val="18"/>
                <w:szCs w:val="18"/>
              </w:rPr>
              <w:t xml:space="preserve">Apply conventions of standard written English (grammar, syntax, mechanics).</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Every document I have filed in court or submitted to a government agency is written in grammatically correct standard English. Court documents are not forgiving of mechanical errors — judges and opposing parties will exploit any sloppiness. I write with precision because the stakes require it.</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All court filings; administrative correspondence — submitted to USDC EDPA, Delaware County CCP, OOR, PA DOE, U.S. Dept. of Education</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5: </w:t>
            </w:r>
            <w:r>
              <w:rPr>
                <w:rFonts w:ascii="Arial" w:cs="Arial" w:eastAsia="Arial" w:hAnsi="Arial"/>
                <w:b w:val="false"/>
                <w:bCs w:val="false"/>
                <w:i w:val="false"/>
                <w:iCs w:val="false"/>
                <w:caps w:val="false"/>
                <w:color w:val="333333"/>
                <w:sz w:val="18"/>
                <w:szCs w:val="18"/>
              </w:rPr>
              <w:t xml:space="preserve">Revise and edit written work through multiple drafts.</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My legal documents undergo extensive revision cycles: initial research, structural drafting, citation checking, argument refinement, and final review before filing. The revision process is not academic for me — a poorly revised motion gets denied. I have internalized rigorous revision as a professional standard.</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Draft iterations of custody filings and federal complaint; revision notes; compare final filed versions to earlier drafts</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6: </w:t>
            </w:r>
            <w:r>
              <w:rPr>
                <w:rFonts w:ascii="Arial" w:cs="Arial" w:eastAsia="Arial" w:hAnsi="Arial"/>
                <w:b w:val="false"/>
                <w:bCs w:val="false"/>
                <w:i w:val="false"/>
                <w:iCs w:val="false"/>
                <w:caps w:val="false"/>
                <w:color w:val="333333"/>
                <w:sz w:val="18"/>
                <w:szCs w:val="18"/>
              </w:rPr>
              <w:t xml:space="preserve">Conduct information research and evaluate source reliability.</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assess source reliability every time I cite authority. I distinguish binding from persuasive authority, check whether cases have been overruled, verify statutory effective dates, and confirm regulatory accuracy. During my AmeriCorps service, I also researched community needs, environmental data, and project specifications for reporting purposes.</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Legal research demonstrating source evaluation; case citation in context; AmeriCorps project documentation with sourced community data</w:t>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3.1.2 — My Competency Narrative</w:t>
      </w:r>
    </w:p>
    <w:p>
      <w:pPr>
        <w:spacing w:after="120" w:before="80" w:line="276"/>
        <w:jc w:val="left"/>
      </w:pPr>
      <w:r>
        <w:rPr>
          <w:rFonts w:ascii="Arial" w:cs="Arial" w:eastAsia="Arial" w:hAnsi="Arial"/>
          <w:b w:val="false"/>
          <w:bCs w:val="false"/>
          <w:i w:val="false"/>
          <w:iCs w:val="false"/>
          <w:caps w:val="false"/>
          <w:color w:val="333333"/>
          <w:sz w:val="20"/>
          <w:szCs w:val="20"/>
        </w:rPr>
        <w:t xml:space="preserve">I have been producing formal, college-level writing consistently for over a decade. Not as exercises — as operational documents with real consequences. My legal writing record alone represents hundreds of pages of structured, argumentative, source-integrated prose. My AmeriCorps service record adds two complete federal service terms totaling 3,629 hours (Atlantic Region, Baltimore MD, 02/07/2011–11/17/2011, 1,746 hours; Pacific Region, Sacramento CA, 10/10/2012–07/23/2013, 1,883 hours), both requiring sustained professional documentation and reporting.</w:t>
      </w:r>
    </w:p>
    <w:p>
      <w:pPr>
        <w:spacing w:after="120" w:before="80" w:line="276"/>
        <w:jc w:val="left"/>
      </w:pPr>
      <w:r>
        <w:rPr>
          <w:rFonts w:ascii="Arial" w:cs="Arial" w:eastAsia="Arial" w:hAnsi="Arial"/>
          <w:b w:val="false"/>
          <w:bCs w:val="false"/>
          <w:i w:val="false"/>
          <w:iCs w:val="false"/>
          <w:caps w:val="false"/>
          <w:color w:val="333333"/>
          <w:sz w:val="20"/>
          <w:szCs w:val="20"/>
        </w:rPr>
        <w:t xml:space="preserve">My court filings are among the strongest evidence of my ENG 100 competency. Each one requires exactly the skills this course develops: a thesis (the legal position), structured argument (IRAC), evidence integration (citations, exhibits, record references), standard written English (court formatting demands it), and revision (every filing I submit has been drafted and revised multiple times before it is filed). The fact that these documents are submitted in federal district court and a court of common pleas — where they are read by judges — is the highest-stakes writing test imaginable.</w:t>
      </w:r>
    </w:p>
    <w:p>
      <w:pPr>
        <w:spacing w:after="120" w:before="80" w:line="276"/>
        <w:jc w:val="left"/>
      </w:pPr>
      <w:r>
        <w:rPr>
          <w:rFonts w:ascii="Arial" w:cs="Arial" w:eastAsia="Arial" w:hAnsi="Arial"/>
          <w:b w:val="false"/>
          <w:bCs w:val="false"/>
          <w:i w:val="false"/>
          <w:iCs w:val="false"/>
          <w:caps w:val="false"/>
          <w:color w:val="333333"/>
          <w:sz w:val="20"/>
          <w:szCs w:val="20"/>
        </w:rPr>
        <w:t xml:space="preserve">My AmeriCorps experience reinforced and broadened my writing competency. Over two full federal service terms, I wrote project reports, team communication documents, briefings to sponsoring organizations, and reflective narratives. The Sly Park Environmental Education Center project — documented in a published newspaper article in the Mountain Democrat (February 2, 2013) that specifically names me as a team member — required written communication with school administrators, teachers, and community stakeholders. The Atlantic Region term (Baltimore, MD) similarly required formal reporting on service projects across multiple sites.</w:t>
      </w:r>
    </w:p>
    <w:p>
      <w:pPr>
        <w:spacing w:after="120" w:before="80" w:line="276"/>
        <w:jc w:val="left"/>
      </w:pPr>
      <w:r>
        <w:rPr>
          <w:rFonts w:ascii="Arial" w:cs="Arial" w:eastAsia="Arial" w:hAnsi="Arial"/>
          <w:b w:val="false"/>
          <w:bCs w:val="false"/>
          <w:i w:val="false"/>
          <w:iCs w:val="false"/>
          <w:caps w:val="false"/>
          <w:color w:val="333333"/>
          <w:sz w:val="20"/>
          <w:szCs w:val="20"/>
        </w:rPr>
        <w:t xml:space="preserve">I also note that completing two full AmeriCorps NCCC terms — 1,746 hours in the first term (exceeding the 1,700-hour minimum by 2.7%) and 1,883 hours in the second term (exceeding the minimum by 10.8%) — demonstrates the kind of disciplined, sustained engagement that is the foundation of academic success. This is not someone who does the minimum. This is someone who overachieves.</w:t>
      </w:r>
    </w:p>
    <w:p>
      <w:pPr>
        <w:spacing w:after="120" w:before="0"/>
      </w:pPr>
    </w:p>
    <w:p>
      <w:pPr>
        <w:pStyle w:val="Heading3"/>
        <w:spacing w:after="120" w:before="220"/>
      </w:pPr>
      <w:r>
        <w:rPr>
          <w:rFonts w:ascii="Arial" w:cs="Arial" w:eastAsia="Arial" w:hAnsi="Arial"/>
          <w:b/>
          <w:bCs/>
          <w:i w:val="false"/>
          <w:iCs w:val="false"/>
          <w:caps w:val="false"/>
          <w:color w:val="2E75B6"/>
          <w:sz w:val="22"/>
          <w:szCs w:val="22"/>
        </w:rPr>
        <w:t xml:space="preserve">3.1.3 — Evidence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400"/>
        <w:gridCol w:w="3460"/>
      </w:tblGrid>
      <w:tr>
        <w:trPr>
          <w:tblHeader/>
        </w:trPr>
        <w:tc>
          <w:tcPr>
            <w:tcW w:type="dxa" w:w="29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Document / Record</w:t>
            </w:r>
          </w:p>
        </w:tc>
        <w:tc>
          <w:tcPr>
            <w:tcW w:type="dxa" w:w="16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Type</w:t>
            </w:r>
          </w:p>
        </w:tc>
        <w:tc>
          <w:tcPr>
            <w:tcW w:type="dxa" w:w="14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Date / Period</w:t>
            </w:r>
          </w:p>
        </w:tc>
        <w:tc>
          <w:tcPr>
            <w:tcW w:type="dxa" w:w="34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Course Relevance</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AmeriCorps NCCC Official Service Letter — Atlantic Region (Baltimore MD)</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Federal Service Letter</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02/07/2011–11/17/2011</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3–6: 1,746 hours of professional service; formal reporting; written documentation — signed by Ken Goodson, National Director, AmeriCorps NCCC</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AmeriCorps NCCC Official Service Letter — Pacific Region (Sacramento CA)</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Federal Service Letter</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10/10/2012–07/23/2013</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3–6: 1,883 hours of professional service; formal reporting; written documentation — signed by Ken Goodson, National Director, AmeriCorps NCCC</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'Helping Hands Come to Sly Park' — Mountain Democrat, Feb. 2, 2013</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Published News Article</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February 2, 2013</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Third-party published documentation naming Alexa Rossini as AmeriCorps NCCC team member at Sly Park Environmental Education Center, Pollock Pines, CA</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42 U.S.C. § 1983 Federal Complaint — Full Draft</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Legal Document</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2021–Present</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1–6: Thesis-driven argumentative writing; IRAC structure; source integration; formal English; revision cycles</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RTKL Requests and OOR Appeal Letters</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Administrative Filings</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2020–Present</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1–5: Formal expository prose; structured argument; statutory citation and integration</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FERPA Complaint and Correspondence to U.S. Dept. of Education</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Federal Administrative Correspondence</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2022–Present</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2, 3, 4: Federal regulatory citation; argumentative writing; formal agency correspondence</w:t>
            </w:r>
          </w:p>
        </w:tc>
      </w:tr>
    </w:tbl>
    <w:p>
      <w:pPr>
        <w:spacing w:after="100" w:before="0"/>
      </w:pPr>
    </w:p>
    <w:p>
      <w:pPr>
        <w:pStyle w:val="Heading3"/>
        <w:spacing w:after="120" w:before="220"/>
      </w:pPr>
      <w:r>
        <w:rPr>
          <w:rFonts w:ascii="Arial" w:cs="Arial" w:eastAsia="Arial" w:hAnsi="Arial"/>
          <w:b/>
          <w:bCs/>
          <w:i w:val="false"/>
          <w:iCs w:val="false"/>
          <w:caps w:val="false"/>
          <w:color w:val="2E75B6"/>
          <w:sz w:val="22"/>
          <w:szCs w:val="22"/>
        </w:rPr>
        <w:t xml:space="preserve">3.1.4 — Rubric Self-Assessment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60"/>
        <w:gridCol w:w="1580"/>
        <w:gridCol w:w="1580"/>
        <w:gridCol w:w="1580"/>
        <w:gridCol w:w="1580"/>
        <w:gridCol w:w="1580"/>
      </w:tblGrid>
      <w:tr>
        <w:tc>
          <w:tcPr>
            <w:tcW w:type="dxa" w:w="1460"/>
            <w:tcBorders>
              <w:top w:val="single" w:color="333333" w:sz="4"/>
              <w:left w:val="single" w:color="333333" w:sz="4"/>
              <w:bottom w:val="single" w:color="333333" w:sz="4"/>
              <w:right w:val="single" w:color="333333" w:sz="4"/>
            </w:tcBorders>
            <w:shd w:fill="333333"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Criterion</w:t>
            </w:r>
          </w:p>
        </w:tc>
        <w:tc>
          <w:tcPr>
            <w:tcW w:type="dxa" w:w="1580"/>
            <w:tcBorders>
              <w:top w:val="thick" w:color="375623" w:sz="16"/>
              <w:left w:val="thick" w:color="375623" w:sz="16"/>
              <w:bottom w:val="thick" w:color="375623" w:sz="16"/>
              <w:right w:val="thick" w:color="375623" w:sz="16"/>
            </w:tcBorders>
            <w:shd w:fill="E2EFDA" w:val="clear"/>
            <w:tcMar>
              <w:top w:type="dxa" w:w="100"/>
              <w:left w:type="dxa" w:w="80"/>
              <w:bottom w:type="dxa" w:w="100"/>
              <w:right w:type="dxa" w:w="80"/>
            </w:tcMar>
            <w:vAlign w:val="center"/>
          </w:tcPr>
          <w:p>
            <w:pPr>
              <w:jc w:val="center"/>
            </w:pPr>
            <w:r>
              <w:rPr>
                <w:rFonts w:ascii="Arial" w:cs="Arial" w:eastAsia="Arial" w:hAnsi="Arial"/>
                <w:b/>
                <w:bCs/>
                <w:i w:val="false"/>
                <w:iCs w:val="false"/>
                <w:caps w:val="false"/>
                <w:color w:val="375623"/>
                <w:sz w:val="16"/>
                <w:szCs w:val="16"/>
              </w:rPr>
              <w:t xml:space="preserve">EXEMPLARY  ✓ Claimed</w:t>
            </w:r>
          </w:p>
        </w:tc>
        <w:tc>
          <w:tcPr>
            <w:tcW w:type="dxa" w:w="1580"/>
            <w:tcBorders>
              <w:top w:val="single" w:color="1F3864" w:sz="4"/>
              <w:left w:val="single" w:color="1F3864" w:sz="4"/>
              <w:bottom w:val="single" w:color="1F3864" w:sz="4"/>
              <w:right w:val="single" w:color="1F3864" w:sz="4"/>
            </w:tcBorders>
            <w:shd w:fill="DEEAF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1F3864"/>
                <w:sz w:val="16"/>
                <w:szCs w:val="16"/>
              </w:rPr>
              <w:t xml:space="preserve">PROFICIENT</w:t>
            </w:r>
          </w:p>
        </w:tc>
        <w:tc>
          <w:tcPr>
            <w:tcW w:type="dxa" w:w="1580"/>
            <w:tcBorders>
              <w:top w:val="single" w:color="7F6000" w:sz="4"/>
              <w:left w:val="single" w:color="7F6000" w:sz="4"/>
              <w:bottom w:val="single" w:color="7F6000" w:sz="4"/>
              <w:right w:val="single" w:color="7F6000" w:sz="4"/>
            </w:tcBorders>
            <w:shd w:fill="FFF2CC"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F6000"/>
                <w:sz w:val="16"/>
                <w:szCs w:val="16"/>
              </w:rPr>
              <w:t xml:space="preserve">COMPETENT</w:t>
            </w:r>
          </w:p>
        </w:tc>
        <w:tc>
          <w:tcPr>
            <w:tcW w:type="dxa" w:w="1580"/>
            <w:tcBorders>
              <w:top w:val="single" w:color="843C0C" w:sz="4"/>
              <w:left w:val="single" w:color="843C0C" w:sz="4"/>
              <w:bottom w:val="single" w:color="843C0C" w:sz="4"/>
              <w:right w:val="single" w:color="843C0C" w:sz="4"/>
            </w:tcBorders>
            <w:shd w:fill="FCE4D6"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843C0C"/>
                <w:sz w:val="16"/>
                <w:szCs w:val="16"/>
              </w:rPr>
              <w:t xml:space="preserve">DEVELOPING</w:t>
            </w:r>
          </w:p>
        </w:tc>
        <w:tc>
          <w:tcPr>
            <w:tcW w:type="dxa" w:w="1580"/>
            <w:tcBorders>
              <w:top w:val="single" w:color="7B0000" w:sz="4"/>
              <w:left w:val="single" w:color="7B0000" w:sz="4"/>
              <w:bottom w:val="single" w:color="7B0000" w:sz="4"/>
              <w:right w:val="single" w:color="7B0000" w:sz="4"/>
            </w:tcBorders>
            <w:shd w:fill="FFDFD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B0000"/>
                <w:sz w:val="16"/>
                <w:szCs w:val="16"/>
              </w:rPr>
              <w:t xml:space="preserve">INSUFFICIENT</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Level Description</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Exceeds all learning outcomes; independent mastery; could serve as a teaching example</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all learning outcomes with minimal guidance; demonstrates understanding and application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most learning outcomes; demonstrates adequate understanding with some gaps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some learning outcomes; demonstrates basic awareness but significant gaps remain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Fails to meet most learning outcomes; insufficient evidence of prior learning</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Thesis and Argument</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have drafted thesis-driven argumentative documents in high-stakes legal contexts for over a decade — every legal filing has a central claim that must be developed, supported, and defended</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Organization and Structure</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consistently apply IRAC and formal document structure — the functional equivalent of academic essay organization — in all legal and administrative writing</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Source Integration and Research</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integrate primary legal sources (statutes, cases, regulations) with precision and appropriate citation in all documents; evaluated source reliability is an operational necessity in litigation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Mechanics and Revision</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My writing meets the standard of federal court and state court submission — the most demanding writing context that exists; every document is revised through multiple drafts before filing</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bl>
    <w:p>
      <w:r>
        <w:br w:type="page"/>
      </w:r>
    </w:p>
    <w:p>
      <w:pPr>
        <w:pStyle w:val="Heading2"/>
        <w:spacing w:after="120" w:before="220"/>
      </w:pPr>
      <w:r>
        <w:rPr>
          <w:rFonts w:ascii="Arial" w:cs="Arial" w:eastAsia="Arial" w:hAnsi="Arial"/>
          <w:b/>
          <w:bCs/>
          <w:i w:val="false"/>
          <w:iCs w:val="false"/>
          <w:caps w:val="false"/>
          <w:color w:val="1F3864"/>
          <w:sz w:val="26"/>
          <w:szCs w:val="26"/>
        </w:rPr>
        <w:t xml:space="preserve">Section 3.2 — ENG 112: Writing About Literature</w:t>
      </w:r>
    </w:p>
    <w:p>
      <w:pPr>
        <w:pBdr>
          <w:bottom w:val="single" w:color="2E75B6" w:sz="8" w:space="1"/>
        </w:pBdr>
        <w:spacing w:after="1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560"/>
        <w:gridCol w:w="1000"/>
      </w:tblGrid>
      <w:tr>
        <w:tc>
          <w:tcPr>
            <w:tcW w:type="dxa" w:w="1800"/>
            <w:tcBorders>
              <w:top w:val="single" w:color="1F6B75" w:sz="4"/>
              <w:left w:val="single" w:color="1F6B75" w:sz="4"/>
              <w:bottom w:val="single" w:color="1F6B75" w:sz="4"/>
              <w:right w:val="single" w:color="1F6B75" w:sz="4"/>
            </w:tcBorders>
            <w:shd w:fill="1F6B75"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ENG 112</w:t>
            </w:r>
          </w:p>
        </w:tc>
        <w:tc>
          <w:tcPr>
            <w:tcW w:type="dxa" w:w="65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Writing About Literature</w:t>
            </w:r>
          </w:p>
        </w:tc>
        <w:tc>
          <w:tcPr>
            <w:tcW w:type="dxa" w:w="1000"/>
            <w:tcBorders>
              <w:top w:val="single" w:color="2E75B6" w:sz="4"/>
              <w:left w:val="single" w:color="2E75B6" w:sz="4"/>
              <w:bottom w:val="single" w:color="2E75B6" w:sz="4"/>
              <w:right w:val="single" w:color="2E75B6" w:sz="4"/>
            </w:tcBorders>
            <w:shd w:fill="2E75B6"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3 Credits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Catalog Description</w:t>
            </w:r>
          </w:p>
        </w:tc>
        <w:tc>
          <w:tcPr>
            <w:tcW w:type="dxa" w:w="75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Advanced composition through the analysis of literary and complex texts: close reading, interpretive argument, text analysis, critical lenses, and synthesis across multiple texts. Emphasis on original analytical argument supported by textual evidence. Prerequisite: ENG 100.</w:t>
            </w:r>
          </w:p>
        </w:tc>
      </w:tr>
      <w:tr>
        <w:tc>
          <w:tcPr>
            <w:tcW w:type="dxa" w:w="18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FFFFFF"/>
                <w:sz w:val="18"/>
                <w:szCs w:val="18"/>
              </w:rPr>
              <w:t xml:space="preserve">My PLA Basis</w:t>
            </w:r>
          </w:p>
        </w:tc>
        <w:tc>
          <w:tcPr>
            <w:tcW w:type="dxa" w:w="75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ENG 112 develops advanced analytical writing through interpretation of complex texts. I have interpreted legal texts — statutes, case law, constitutional provisions, and regulatory language — at a level of depth and precision that exceeds literary close reading. Additionally, my software development work (Legalitize platform; Google Cybersecurity coursework) required producing technical documentation, design specifications, and analytical reports that demonstrate advanced writing competency well beyond ENG 100.</w:t>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3.2.1 — Learning Outcomes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200"/>
        <w:gridCol w:w="2800"/>
      </w:tblGrid>
      <w:tr>
        <w:trPr>
          <w:tblHeader/>
        </w:trPr>
        <w:tc>
          <w:tcPr>
            <w:tcW w:type="dxa" w:w="33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Learning Outcome (DCCC Catalog)</w:t>
            </w:r>
          </w:p>
        </w:tc>
        <w:tc>
          <w:tcPr>
            <w:tcW w:type="dxa" w:w="32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My Demonstrated Competency / Experience</w:t>
            </w:r>
          </w:p>
        </w:tc>
        <w:tc>
          <w:tcPr>
            <w:tcW w:type="dxa" w:w="28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Supporting Documentation</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1: </w:t>
            </w:r>
            <w:r>
              <w:rPr>
                <w:rFonts w:ascii="Arial" w:cs="Arial" w:eastAsia="Arial" w:hAnsi="Arial"/>
                <w:b w:val="false"/>
                <w:bCs w:val="false"/>
                <w:i w:val="false"/>
                <w:iCs w:val="false"/>
                <w:caps w:val="false"/>
                <w:color w:val="333333"/>
                <w:sz w:val="18"/>
                <w:szCs w:val="18"/>
              </w:rPr>
              <w:t xml:space="preserve">Read and analyze complex texts using close reading strategies.</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conduct close textual analysis of statutory language, case holdings, and constitutional provisions as a matter of professional necessity. Statutory interpretation requires close attention to specific word choices, comma placement, defined terms, and ambiguities. I have analyzed the text of 42 U.S.C. § 1983, 23 Pa.C.S. § 5337, 65 P.S. § 67.101, and 20 U.S.C. § 1232g with the rigor of literary close reading.</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Statutory analysis memoranda; legal briefs parsing specific statutory language; constitutional text analysis in § 1983 framework</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2: </w:t>
            </w:r>
            <w:r>
              <w:rPr>
                <w:rFonts w:ascii="Arial" w:cs="Arial" w:eastAsia="Arial" w:hAnsi="Arial"/>
                <w:b w:val="false"/>
                <w:bCs w:val="false"/>
                <w:i w:val="false"/>
                <w:iCs w:val="false"/>
                <w:caps w:val="false"/>
                <w:color w:val="333333"/>
                <w:sz w:val="18"/>
                <w:szCs w:val="18"/>
              </w:rPr>
              <w:t xml:space="preserve">Develop original interpretive arguments supported by textual evidence.</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Every legal argument I make is an interpretive argument: what does this statute mean? What did this court hold? How do these facts map to this legal standard? I develop original interpretive positions, support them with direct textual evidence (quotes from statutes and cases), and defend them against competing interpretations.</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Memoranda of law with textual argument supported by statutory and case citations; § 1983 complaint with interpretive claims about constitutional standards</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3: </w:t>
            </w:r>
            <w:r>
              <w:rPr>
                <w:rFonts w:ascii="Arial" w:cs="Arial" w:eastAsia="Arial" w:hAnsi="Arial"/>
                <w:b w:val="false"/>
                <w:bCs w:val="false"/>
                <w:i w:val="false"/>
                <w:iCs w:val="false"/>
                <w:caps w:val="false"/>
                <w:color w:val="333333"/>
                <w:sz w:val="18"/>
                <w:szCs w:val="18"/>
              </w:rPr>
              <w:t xml:space="preserve">Apply critical lenses or theoretical frameworks to text analysis.</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apply legal interpretive frameworks (textualism, purposivism, constitutional interpretation doctrines) to analyze statutory and case text — these are the equivalent of critical lenses in literary analysis. I have also applied sociological frameworks (Monell municipal liability theory) and psychological frameworks (§ 5328 best-interest factors) to interpret facts and legal standards.</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Monell policy/custom analysis; § 5328 factor analysis applying psychological framework; constitutional interpretation using 14th Amendment due process doctrine</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4: </w:t>
            </w:r>
            <w:r>
              <w:rPr>
                <w:rFonts w:ascii="Arial" w:cs="Arial" w:eastAsia="Arial" w:hAnsi="Arial"/>
                <w:b w:val="false"/>
                <w:bCs w:val="false"/>
                <w:i w:val="false"/>
                <w:iCs w:val="false"/>
                <w:caps w:val="false"/>
                <w:color w:val="333333"/>
                <w:sz w:val="18"/>
                <w:szCs w:val="18"/>
              </w:rPr>
              <w:t xml:space="preserve">Synthesize analysis across multiple texts.</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My legal work routinely requires synthesizing multiple statutes, multiple cases, and multiple regulatory provisions into a coherent analytical framework. My § 1983 work synthesizes constitutional text, Supreme Court precedent, Third Circuit decisions, and federal regulations. My Legalitize software development required synthesizing legal domain knowledge with technical documentation across multiple sources.</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 1983 complaint synthesizing multiple constitutional provisions and precedents; IDEA/FERPA research synthesizing multiple federal statutes; Legalitize technical documentation</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5: </w:t>
            </w:r>
            <w:r>
              <w:rPr>
                <w:rFonts w:ascii="Arial" w:cs="Arial" w:eastAsia="Arial" w:hAnsi="Arial"/>
                <w:b w:val="false"/>
                <w:bCs w:val="false"/>
                <w:i w:val="false"/>
                <w:iCs w:val="false"/>
                <w:caps w:val="false"/>
                <w:color w:val="333333"/>
                <w:sz w:val="18"/>
                <w:szCs w:val="18"/>
              </w:rPr>
              <w:t xml:space="preserve">Produce well-structured analytical essays with clear thesis, evidence, and conclusion.</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My memoranda of law and technical documentation follow the structure of analytical writing — introduction, argument (with evidence), and conclusion — at a level appropriate for federal court submission and professional software development contexts.</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Memoranda of law filed in support of court documents; Legalitize platform design documentation; Google Cybersecurity course project analyses</w:t>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3.2.2 — My Competency Narrative</w:t>
      </w:r>
    </w:p>
    <w:p>
      <w:pPr>
        <w:spacing w:after="120" w:before="80" w:line="276"/>
        <w:jc w:val="left"/>
      </w:pPr>
      <w:r>
        <w:rPr>
          <w:rFonts w:ascii="Arial" w:cs="Arial" w:eastAsia="Arial" w:hAnsi="Arial"/>
          <w:b w:val="false"/>
          <w:bCs w:val="false"/>
          <w:i w:val="false"/>
          <w:iCs w:val="false"/>
          <w:caps w:val="false"/>
          <w:color w:val="333333"/>
          <w:sz w:val="20"/>
          <w:szCs w:val="20"/>
        </w:rPr>
        <w:t xml:space="preserve">ENG 112 is about reading complex texts carefully and writing original interpretive arguments in response to them. That is precisely what I do when I analyze statutory text, interpret case law, and develop legal arguments from primary sources. The skills are identical — the texts are just legal rather than literary.</w:t>
      </w:r>
    </w:p>
    <w:p>
      <w:pPr>
        <w:spacing w:after="120" w:before="80" w:line="276"/>
        <w:jc w:val="left"/>
      </w:pPr>
      <w:r>
        <w:rPr>
          <w:rFonts w:ascii="Arial" w:cs="Arial" w:eastAsia="Arial" w:hAnsi="Arial"/>
          <w:b w:val="false"/>
          <w:bCs w:val="false"/>
          <w:i w:val="false"/>
          <w:iCs w:val="false"/>
          <w:caps w:val="false"/>
          <w:color w:val="333333"/>
          <w:sz w:val="20"/>
          <w:szCs w:val="20"/>
        </w:rPr>
        <w:t xml:space="preserve">Close reading of statutory language is one of the most demanding interpretive tasks in any field. When I analyze 23 Pa.C.S. § 5337(c)(1) — the provision requiring the relocating parent to give notice — I am doing exactly what ENG 112 teaches: attending to specific word choices, analyzing structural relationships between clauses, considering the implications of definitions, and developing an interpretive position. The question 'what does this statute mean and how does it apply to these facts' is the equivalent of 'what does this text mean and how does it express its theme.'</w:t>
      </w:r>
    </w:p>
    <w:p>
      <w:pPr>
        <w:spacing w:after="120" w:before="80" w:line="276"/>
        <w:jc w:val="left"/>
      </w:pPr>
      <w:r>
        <w:rPr>
          <w:rFonts w:ascii="Arial" w:cs="Arial" w:eastAsia="Arial" w:hAnsi="Arial"/>
          <w:b w:val="false"/>
          <w:bCs w:val="false"/>
          <w:i w:val="false"/>
          <w:iCs w:val="false"/>
          <w:caps w:val="false"/>
          <w:color w:val="333333"/>
          <w:sz w:val="20"/>
          <w:szCs w:val="20"/>
        </w:rPr>
        <w:t xml:space="preserve">My work on Legalitize — a legal technology platform I am actively developing — has further developed my advanced writing competency. Building a software product that serves legal practitioners requires technical documentation, user experience writing, design specifications, and analytical reports that synthesize complex domain knowledge. This is sophisticated, multi-audience writing that demonstrates the kind of text-production skills ENG 112 develops.</w:t>
      </w:r>
    </w:p>
    <w:p>
      <w:pPr>
        <w:spacing w:after="120" w:before="80" w:line="276"/>
        <w:jc w:val="left"/>
      </w:pPr>
      <w:r>
        <w:rPr>
          <w:rFonts w:ascii="Arial" w:cs="Arial" w:eastAsia="Arial" w:hAnsi="Arial"/>
          <w:b w:val="false"/>
          <w:bCs w:val="false"/>
          <w:i w:val="false"/>
          <w:iCs w:val="false"/>
          <w:caps w:val="false"/>
          <w:color w:val="333333"/>
          <w:sz w:val="20"/>
          <w:szCs w:val="20"/>
        </w:rPr>
        <w:t xml:space="preserve">My Google Cybersecurity Certificate coursework (issued through Google/Coursera) required me to analyze security frameworks — NIST Cybersecurity Framework, OWASP, MITRE ATT&amp;CK — as complex texts, interpret their provisions, and write analytical assessments of security posture. These are close-reading-and-analysis tasks applied to technical documents, which is directly analogous to ENG 112's analytical writing approach.</w:t>
      </w:r>
    </w:p>
    <w:p>
      <w:pPr>
        <w:spacing w:after="120" w:before="80" w:line="276"/>
        <w:jc w:val="left"/>
      </w:pPr>
      <w:r>
        <w:rPr>
          <w:rFonts w:ascii="Arial" w:cs="Arial" w:eastAsia="Arial" w:hAnsi="Arial"/>
          <w:b w:val="false"/>
          <w:bCs w:val="false"/>
          <w:i w:val="false"/>
          <w:iCs w:val="false"/>
          <w:caps w:val="false"/>
          <w:color w:val="333333"/>
          <w:sz w:val="20"/>
          <w:szCs w:val="20"/>
        </w:rPr>
        <w:t xml:space="preserve">I have also written substantive legal analysis of constitutional text at the interpretive level ENG 112 demands. My analysis of the Fourteenth Amendment's Due Process and Equal Protection clauses, applied to the facts of my civil rights case, required me to interpret the text of the Constitution, trace its judicial interpretation through case law, and develop an original argument about how that text applies to my specific circumstances. This is the highest level of analytical writing from textual sources.</w:t>
      </w:r>
    </w:p>
    <w:p>
      <w:pPr>
        <w:spacing w:after="120" w:before="0"/>
      </w:pPr>
    </w:p>
    <w:p>
      <w:pPr>
        <w:pStyle w:val="Heading3"/>
        <w:spacing w:after="120" w:before="220"/>
      </w:pPr>
      <w:r>
        <w:rPr>
          <w:rFonts w:ascii="Arial" w:cs="Arial" w:eastAsia="Arial" w:hAnsi="Arial"/>
          <w:b/>
          <w:bCs/>
          <w:i w:val="false"/>
          <w:iCs w:val="false"/>
          <w:caps w:val="false"/>
          <w:color w:val="2E75B6"/>
          <w:sz w:val="22"/>
          <w:szCs w:val="22"/>
        </w:rPr>
        <w:t xml:space="preserve">3.2.3 — Evidence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400"/>
        <w:gridCol w:w="3460"/>
      </w:tblGrid>
      <w:tr>
        <w:trPr>
          <w:tblHeader/>
        </w:trPr>
        <w:tc>
          <w:tcPr>
            <w:tcW w:type="dxa" w:w="29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Document / Record</w:t>
            </w:r>
          </w:p>
        </w:tc>
        <w:tc>
          <w:tcPr>
            <w:tcW w:type="dxa" w:w="16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Type</w:t>
            </w:r>
          </w:p>
        </w:tc>
        <w:tc>
          <w:tcPr>
            <w:tcW w:type="dxa" w:w="14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Date / Period</w:t>
            </w:r>
          </w:p>
        </w:tc>
        <w:tc>
          <w:tcPr>
            <w:tcW w:type="dxa" w:w="34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Course Relevance</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Legalitize Platform — Technical Documentation and Design Specifications</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Software Development Documentation</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2024–Present</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2–5: Multi-audience analytical writing; synthesis across legal and technical domains; original argumentative structure</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Google Cybersecurity Certificate — Course Project Analyses</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Professional Certification Work Product</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2024–2025</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1–3: Close reading of security frameworks; interpretive argument; critical lens application (NIST, MITRE ATT&amp;CK)</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Memoranda of Law — § 1983 and Custody Matters</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Legal Documents</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2019–Present</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1–5: Statutory close reading; original interpretive argument; synthesis across cases and statutes; analytical structure</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Constitutional Text Analysis — 4th and 14th Amendment Framework</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Research Memoranda</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Ongoing</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2, 3: Close reading of constitutional text; interpretive argument; critical interpretive framework</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IDEA/FERPA Synthesis Memoranda</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Legal Research</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2021–Present</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4, 5: Multi-statute synthesis; analytical writing integrating multiple legal texts</w:t>
            </w:r>
          </w:p>
        </w:tc>
      </w:tr>
    </w:tbl>
    <w:p>
      <w:pPr>
        <w:spacing w:after="100" w:before="0"/>
      </w:pPr>
    </w:p>
    <w:p>
      <w:pPr>
        <w:pStyle w:val="Heading3"/>
        <w:spacing w:after="120" w:before="220"/>
      </w:pPr>
      <w:r>
        <w:rPr>
          <w:rFonts w:ascii="Arial" w:cs="Arial" w:eastAsia="Arial" w:hAnsi="Arial"/>
          <w:b/>
          <w:bCs/>
          <w:i w:val="false"/>
          <w:iCs w:val="false"/>
          <w:caps w:val="false"/>
          <w:color w:val="2E75B6"/>
          <w:sz w:val="22"/>
          <w:szCs w:val="22"/>
        </w:rPr>
        <w:t xml:space="preserve">3.2.4 — Rubric Self-Assessment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60"/>
        <w:gridCol w:w="1580"/>
        <w:gridCol w:w="1580"/>
        <w:gridCol w:w="1580"/>
        <w:gridCol w:w="1580"/>
        <w:gridCol w:w="1580"/>
      </w:tblGrid>
      <w:tr>
        <w:tc>
          <w:tcPr>
            <w:tcW w:type="dxa" w:w="1460"/>
            <w:tcBorders>
              <w:top w:val="single" w:color="333333" w:sz="4"/>
              <w:left w:val="single" w:color="333333" w:sz="4"/>
              <w:bottom w:val="single" w:color="333333" w:sz="4"/>
              <w:right w:val="single" w:color="333333" w:sz="4"/>
            </w:tcBorders>
            <w:shd w:fill="333333"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Criterion</w:t>
            </w:r>
          </w:p>
        </w:tc>
        <w:tc>
          <w:tcPr>
            <w:tcW w:type="dxa" w:w="1580"/>
            <w:tcBorders>
              <w:top w:val="thick" w:color="375623" w:sz="16"/>
              <w:left w:val="thick" w:color="375623" w:sz="16"/>
              <w:bottom w:val="thick" w:color="375623" w:sz="16"/>
              <w:right w:val="thick" w:color="375623" w:sz="16"/>
            </w:tcBorders>
            <w:shd w:fill="E2EFDA" w:val="clear"/>
            <w:tcMar>
              <w:top w:type="dxa" w:w="100"/>
              <w:left w:type="dxa" w:w="80"/>
              <w:bottom w:type="dxa" w:w="100"/>
              <w:right w:type="dxa" w:w="80"/>
            </w:tcMar>
            <w:vAlign w:val="center"/>
          </w:tcPr>
          <w:p>
            <w:pPr>
              <w:jc w:val="center"/>
            </w:pPr>
            <w:r>
              <w:rPr>
                <w:rFonts w:ascii="Arial" w:cs="Arial" w:eastAsia="Arial" w:hAnsi="Arial"/>
                <w:b/>
                <w:bCs/>
                <w:i w:val="false"/>
                <w:iCs w:val="false"/>
                <w:caps w:val="false"/>
                <w:color w:val="375623"/>
                <w:sz w:val="16"/>
                <w:szCs w:val="16"/>
              </w:rPr>
              <w:t xml:space="preserve">EXEMPLARY  ✓ Claimed</w:t>
            </w:r>
          </w:p>
        </w:tc>
        <w:tc>
          <w:tcPr>
            <w:tcW w:type="dxa" w:w="1580"/>
            <w:tcBorders>
              <w:top w:val="single" w:color="1F3864" w:sz="4"/>
              <w:left w:val="single" w:color="1F3864" w:sz="4"/>
              <w:bottom w:val="single" w:color="1F3864" w:sz="4"/>
              <w:right w:val="single" w:color="1F3864" w:sz="4"/>
            </w:tcBorders>
            <w:shd w:fill="DEEAF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1F3864"/>
                <w:sz w:val="16"/>
                <w:szCs w:val="16"/>
              </w:rPr>
              <w:t xml:space="preserve">PROFICIENT</w:t>
            </w:r>
          </w:p>
        </w:tc>
        <w:tc>
          <w:tcPr>
            <w:tcW w:type="dxa" w:w="1580"/>
            <w:tcBorders>
              <w:top w:val="single" w:color="7F6000" w:sz="4"/>
              <w:left w:val="single" w:color="7F6000" w:sz="4"/>
              <w:bottom w:val="single" w:color="7F6000" w:sz="4"/>
              <w:right w:val="single" w:color="7F6000" w:sz="4"/>
            </w:tcBorders>
            <w:shd w:fill="FFF2CC"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F6000"/>
                <w:sz w:val="16"/>
                <w:szCs w:val="16"/>
              </w:rPr>
              <w:t xml:space="preserve">COMPETENT</w:t>
            </w:r>
          </w:p>
        </w:tc>
        <w:tc>
          <w:tcPr>
            <w:tcW w:type="dxa" w:w="1580"/>
            <w:tcBorders>
              <w:top w:val="single" w:color="843C0C" w:sz="4"/>
              <w:left w:val="single" w:color="843C0C" w:sz="4"/>
              <w:bottom w:val="single" w:color="843C0C" w:sz="4"/>
              <w:right w:val="single" w:color="843C0C" w:sz="4"/>
            </w:tcBorders>
            <w:shd w:fill="FCE4D6"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843C0C"/>
                <w:sz w:val="16"/>
                <w:szCs w:val="16"/>
              </w:rPr>
              <w:t xml:space="preserve">DEVELOPING</w:t>
            </w:r>
          </w:p>
        </w:tc>
        <w:tc>
          <w:tcPr>
            <w:tcW w:type="dxa" w:w="1580"/>
            <w:tcBorders>
              <w:top w:val="single" w:color="7B0000" w:sz="4"/>
              <w:left w:val="single" w:color="7B0000" w:sz="4"/>
              <w:bottom w:val="single" w:color="7B0000" w:sz="4"/>
              <w:right w:val="single" w:color="7B0000" w:sz="4"/>
            </w:tcBorders>
            <w:shd w:fill="FFDFD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B0000"/>
                <w:sz w:val="16"/>
                <w:szCs w:val="16"/>
              </w:rPr>
              <w:t xml:space="preserve">INSUFFICIENT</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Level Description</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Exceeds all learning outcomes; independent mastery; could serve as a teaching example</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all learning outcomes with minimal guidance; demonstrates understanding and application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most learning outcomes; demonstrates adequate understanding with some gaps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some learning outcomes; demonstrates basic awareness but significant gaps remain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Fails to meet most learning outcomes; insufficient evidence of prior learning</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Close Reading and Text Analysis</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apply close reading to statutory, constitutional, and regulatory text as a professional practice — attending to specific language, definitions, and ambiguities with the rigor that ENG 112's literary analysis demands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Original Interpretive Argument</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Every legal brief and memorandum I produce is an original interpretive argument supported by textual evidence — statutes, cases, and regulatory text serve the same evidentiary function as literary quotations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Synthesis and Critical Framework</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synthesize multiple legal texts using interpretive frameworks (textualism, purposivism, constitutional doctrine) — the legal equivalent of applying critical lenses in literary analysis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Advanced Writing Production</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My technical documentation for Legalitize, cybersecurity course analyses, and legal memoranda demonstrate analytical writing competency well beyond the ENG 100 prerequisite level</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bl>
    <w:p>
      <w:r>
        <w:br w:type="page"/>
      </w:r>
    </w:p>
    <w:p>
      <w:pPr>
        <w:pStyle w:val="Heading2"/>
        <w:spacing w:after="120" w:before="220"/>
      </w:pPr>
      <w:r>
        <w:rPr>
          <w:rFonts w:ascii="Arial" w:cs="Arial" w:eastAsia="Arial" w:hAnsi="Arial"/>
          <w:b/>
          <w:bCs/>
          <w:i w:val="false"/>
          <w:iCs w:val="false"/>
          <w:caps w:val="false"/>
          <w:color w:val="1F3864"/>
          <w:sz w:val="26"/>
          <w:szCs w:val="26"/>
        </w:rPr>
        <w:t xml:space="preserve">Section 3.3 — ADJ 241: Criminal Law, Procedure, and Adjudication</w:t>
      </w:r>
    </w:p>
    <w:p>
      <w:pPr>
        <w:pBdr>
          <w:bottom w:val="single" w:color="2E75B6" w:sz="8" w:space="1"/>
        </w:pBdr>
        <w:spacing w:after="1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560"/>
        <w:gridCol w:w="1000"/>
      </w:tblGrid>
      <w:tr>
        <w:tc>
          <w:tcPr>
            <w:tcW w:type="dxa" w:w="1800"/>
            <w:tcBorders>
              <w:top w:val="single" w:color="1F6B75" w:sz="4"/>
              <w:left w:val="single" w:color="1F6B75" w:sz="4"/>
              <w:bottom w:val="single" w:color="1F6B75" w:sz="4"/>
              <w:right w:val="single" w:color="1F6B75" w:sz="4"/>
            </w:tcBorders>
            <w:shd w:fill="1F6B75"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ADJ 241</w:t>
            </w:r>
          </w:p>
        </w:tc>
        <w:tc>
          <w:tcPr>
            <w:tcW w:type="dxa" w:w="65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Criminal Law, Procedure and Adjudication</w:t>
            </w:r>
          </w:p>
        </w:tc>
        <w:tc>
          <w:tcPr>
            <w:tcW w:type="dxa" w:w="1000"/>
            <w:tcBorders>
              <w:top w:val="single" w:color="2E75B6" w:sz="4"/>
              <w:left w:val="single" w:color="2E75B6" w:sz="4"/>
              <w:bottom w:val="single" w:color="2E75B6" w:sz="4"/>
              <w:right w:val="single" w:color="2E75B6" w:sz="4"/>
            </w:tcBorders>
            <w:shd w:fill="2E75B6"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3 Credits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Catalog Description</w:t>
            </w:r>
          </w:p>
        </w:tc>
        <w:tc>
          <w:tcPr>
            <w:tcW w:type="dxa" w:w="75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Survey of criminal law and procedure: elements of crimes, constitutional criminal procedure (4th, 5th, 6th Amendment), arraignment, bail, discovery, plea, trial, sentencing, and post-conviction review. Diversity and Social Justice (DJ) designated. Required for Law and Criminal Justice Concentration.</w:t>
            </w:r>
          </w:p>
        </w:tc>
      </w:tr>
      <w:tr>
        <w:tc>
          <w:tcPr>
            <w:tcW w:type="dxa" w:w="18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FFFFFF"/>
                <w:sz w:val="18"/>
                <w:szCs w:val="18"/>
              </w:rPr>
              <w:t xml:space="preserve">My PLA Basis</w:t>
            </w:r>
          </w:p>
        </w:tc>
        <w:tc>
          <w:tcPr>
            <w:tcW w:type="dxa" w:w="75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conducted extensive criminal procedure research across three Pennsylvania jurisdictions — Philadelphia County, Montgomery County, and matters involving the Hatboro Police Department — in connection with active legal matters. My research spans constitutional criminal procedure (4th, 5th, and 6th Amendments), the Pennsylvania Rules of Criminal Procedure, the PA Crimes Code, police conduct, and post-conviction review. This is applied, operational criminal law knowledge.</w:t>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3.3.1 — Learning Outcomes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200"/>
        <w:gridCol w:w="2800"/>
      </w:tblGrid>
      <w:tr>
        <w:trPr>
          <w:tblHeader/>
        </w:trPr>
        <w:tc>
          <w:tcPr>
            <w:tcW w:type="dxa" w:w="33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Learning Outcome (DCCC Catalog)</w:t>
            </w:r>
          </w:p>
        </w:tc>
        <w:tc>
          <w:tcPr>
            <w:tcW w:type="dxa" w:w="32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My Demonstrated Competency / Experience</w:t>
            </w:r>
          </w:p>
        </w:tc>
        <w:tc>
          <w:tcPr>
            <w:tcW w:type="dxa" w:w="28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Supporting Documentation</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1: </w:t>
            </w:r>
            <w:r>
              <w:rPr>
                <w:rFonts w:ascii="Arial" w:cs="Arial" w:eastAsia="Arial" w:hAnsi="Arial"/>
                <w:b w:val="false"/>
                <w:bCs w:val="false"/>
                <w:i w:val="false"/>
                <w:iCs w:val="false"/>
                <w:caps w:val="false"/>
                <w:color w:val="333333"/>
                <w:sz w:val="18"/>
                <w:szCs w:val="18"/>
              </w:rPr>
              <w:t xml:space="preserve">Identify elements of crimes and apply them to factual scenarios.</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researched elements of criminal offenses under the Pennsylvania Crimes Code (18 Pa.C.S.) including assault, harassment, stalking, and related offenses in connection with matters involving Hatboro PD and Montgomery County. I understand the actus reus/mens rea framework, the distinction between graded offenses, and how elements map to facts.</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Criminal procedure research memoranda; PA Crimes Code analysis; analysis of specific charged offenses in relevant matters</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2: </w:t>
            </w:r>
            <w:r>
              <w:rPr>
                <w:rFonts w:ascii="Arial" w:cs="Arial" w:eastAsia="Arial" w:hAnsi="Arial"/>
                <w:b w:val="false"/>
                <w:bCs w:val="false"/>
                <w:i w:val="false"/>
                <w:iCs w:val="false"/>
                <w:caps w:val="false"/>
                <w:color w:val="333333"/>
                <w:sz w:val="18"/>
                <w:szCs w:val="18"/>
              </w:rPr>
              <w:t xml:space="preserve">Identify and apply Fourth, Fifth, and Sixth Amendment criminal procedure rights.</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My § 1983 civil rights work requires mastery of Fourth and Fourteenth Amendment doctrine. I have independently researched Terry v. Ohio, Mapp v. Ohio (Fourth Amendment exclusionary rule), Miranda v. Arizona (Fifth Amendment), Brady v. Maryland (due process/disclosure), and Gideon v. Wainwright (Sixth Amendment right to counsel) — applying them to the facts of specific matters.</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Constitutional criminal procedure research; § 1983 complaint incorporating 4th and 14th Amendment doctrine; Brady material analysis; Miranda analysis</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3: </w:t>
            </w:r>
            <w:r>
              <w:rPr>
                <w:rFonts w:ascii="Arial" w:cs="Arial" w:eastAsia="Arial" w:hAnsi="Arial"/>
                <w:b w:val="false"/>
                <w:bCs w:val="false"/>
                <w:i w:val="false"/>
                <w:iCs w:val="false"/>
                <w:caps w:val="false"/>
                <w:color w:val="333333"/>
                <w:sz w:val="18"/>
                <w:szCs w:val="18"/>
              </w:rPr>
              <w:t xml:space="preserve">Trace the criminal adjudication process from arrest through sentencing.</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researched the full Pennsylvania criminal procedure sequence — from arrest and preliminary arraignment under Pa.R.Crim.P. 540, through preliminary hearing (Pa.R.Crim.P. 542), arraignment, pretrial motions, trial, and sentencing — as applied to matters in Philadelphia County and Montgomery County.</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PA Rules of Criminal Procedure research; Philadelphia Municipal Court procedure analysis; Montgomery County criminal court procedure research</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4: </w:t>
            </w:r>
            <w:r>
              <w:rPr>
                <w:rFonts w:ascii="Arial" w:cs="Arial" w:eastAsia="Arial" w:hAnsi="Arial"/>
                <w:b w:val="false"/>
                <w:bCs w:val="false"/>
                <w:i w:val="false"/>
                <w:iCs w:val="false"/>
                <w:caps w:val="false"/>
                <w:color w:val="333333"/>
                <w:sz w:val="18"/>
                <w:szCs w:val="18"/>
              </w:rPr>
              <w:t xml:space="preserve">Identify issues of diversity, equity, and justice in the criminal system.</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My § 1983 civil rights work is fundamentally a study of justice, systemic inequity, and constitutional violations within the criminal justice system. I have researched Monell claims, unconstitutional policies and customs, discriminatory enforcement patterns, and the due process implications of selective prosecution. My AmeriCorps service in diverse communities also developed my understanding of systemic justice issues.</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 1983 Monell analysis; unconstitutional policy/custom research; AmeriCorps service documentation in underserved communities — Atlantic and Pacific Regions</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5: </w:t>
            </w:r>
            <w:r>
              <w:rPr>
                <w:rFonts w:ascii="Arial" w:cs="Arial" w:eastAsia="Arial" w:hAnsi="Arial"/>
                <w:b w:val="false"/>
                <w:bCs w:val="false"/>
                <w:i w:val="false"/>
                <w:iCs w:val="false"/>
                <w:caps w:val="false"/>
                <w:color w:val="333333"/>
                <w:sz w:val="18"/>
                <w:szCs w:val="18"/>
              </w:rPr>
              <w:t xml:space="preserve">Analyze court decisions and their impact on criminal procedure.</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researched and analyzed landmark criminal procedure cases — Mapp, Miranda, Terry, Gideon, Strickland, Brady — and applied them to specific factual contexts. My ability to extract the holding of a case, analyze its procedural impact, and apply it to new facts is demonstrated throughout my legal research record.</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Case law analysis memoranda; constitutional criminal procedure research applied to Hatboro PD and Philadelphia/Montgomery County matters</w:t>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3.3.2 — My Competency Narrative</w:t>
      </w:r>
    </w:p>
    <w:p>
      <w:pPr>
        <w:spacing w:after="120" w:before="80" w:line="276"/>
        <w:jc w:val="left"/>
      </w:pPr>
      <w:r>
        <w:rPr>
          <w:rFonts w:ascii="Arial" w:cs="Arial" w:eastAsia="Arial" w:hAnsi="Arial"/>
          <w:b w:val="false"/>
          <w:bCs w:val="false"/>
          <w:i w:val="false"/>
          <w:iCs w:val="false"/>
          <w:caps w:val="false"/>
          <w:color w:val="333333"/>
          <w:sz w:val="20"/>
          <w:szCs w:val="20"/>
        </w:rPr>
        <w:t xml:space="preserve">My criminal law and procedure knowledge is operational, not theoretical. I have conducted intensive research into criminal procedure across three Pennsylvania jurisdictions in connection with specific legal matters, and my § 1983 civil rights work requires mastery of constitutional criminal procedure doctrine at a level that exceeds what ADJ 241 covers in an introductory survey format.</w:t>
      </w:r>
    </w:p>
    <w:p>
      <w:pPr>
        <w:spacing w:after="120" w:before="80" w:line="276"/>
        <w:jc w:val="left"/>
      </w:pPr>
      <w:r>
        <w:rPr>
          <w:rFonts w:ascii="Arial" w:cs="Arial" w:eastAsia="Arial" w:hAnsi="Arial"/>
          <w:b w:val="false"/>
          <w:bCs w:val="false"/>
          <w:i w:val="false"/>
          <w:iCs w:val="false"/>
          <w:caps w:val="false"/>
          <w:color w:val="333333"/>
          <w:sz w:val="20"/>
          <w:szCs w:val="20"/>
        </w:rPr>
        <w:t xml:space="preserve">My Fourth Amendment research began with the foundational cases — Mapp v. Ohio's exclusionary rule, Terry v. Ohio's reasonable suspicion standard, Katz v. United States and the reasonable expectation of privacy framework, and Riley v. California's extension of warrant requirements to cell phones — and extended to specific applications: what constitutes a valid stop, what triggers the warrant requirement, and when evidence is constitutionally subject to suppression. I applied this research to specific facts involving Hatboro Police Department conduct.</w:t>
      </w:r>
    </w:p>
    <w:p>
      <w:pPr>
        <w:spacing w:after="120" w:before="80" w:line="276"/>
        <w:jc w:val="left"/>
      </w:pPr>
      <w:r>
        <w:rPr>
          <w:rFonts w:ascii="Arial" w:cs="Arial" w:eastAsia="Arial" w:hAnsi="Arial"/>
          <w:b w:val="false"/>
          <w:bCs w:val="false"/>
          <w:i w:val="false"/>
          <w:iCs w:val="false"/>
          <w:caps w:val="false"/>
          <w:color w:val="333333"/>
          <w:sz w:val="20"/>
          <w:szCs w:val="20"/>
        </w:rPr>
        <w:t xml:space="preserve">My Fifth Amendment research encompasses Miranda warnings, the privilege against self-incrimination, the voluntariness standard for confessions, and the Grand Jury Clause as applied to state prosecutions through the Fourteenth Amendment. I understand the relationship between the Fifth Amendment privilege and § 1983 due process claims. My Fourteenth Amendment research — which is central to my civil rights action — required mastery of both the procedural and substantive due process doctrines that emerged from the criminal procedure context and now govern civil rights claims.</w:t>
      </w:r>
    </w:p>
    <w:p>
      <w:pPr>
        <w:spacing w:after="120" w:before="80" w:line="276"/>
        <w:jc w:val="left"/>
      </w:pPr>
      <w:r>
        <w:rPr>
          <w:rFonts w:ascii="Arial" w:cs="Arial" w:eastAsia="Arial" w:hAnsi="Arial"/>
          <w:b w:val="false"/>
          <w:bCs w:val="false"/>
          <w:i w:val="false"/>
          <w:iCs w:val="false"/>
          <w:caps w:val="false"/>
          <w:color w:val="333333"/>
          <w:sz w:val="20"/>
          <w:szCs w:val="20"/>
        </w:rPr>
        <w:t xml:space="preserve">I have also researched the Pennsylvania Rules of Criminal Procedure as applied in Philadelphia County and Montgomery County: preliminary arraignment procedures, the timing and conduct of preliminary hearings, the standard for bindover to the Court of Common Pleas, and the discovery obligations under Pa.R.Crim.P. 573. This procedural knowledge is current and jurisdiction-specific — not abstract.</w:t>
      </w:r>
    </w:p>
    <w:p>
      <w:pPr>
        <w:spacing w:after="120" w:before="80" w:line="276"/>
        <w:jc w:val="left"/>
      </w:pPr>
      <w:r>
        <w:rPr>
          <w:rFonts w:ascii="Arial" w:cs="Arial" w:eastAsia="Arial" w:hAnsi="Arial"/>
          <w:b w:val="false"/>
          <w:bCs w:val="false"/>
          <w:i w:val="false"/>
          <w:iCs w:val="false"/>
          <w:caps w:val="false"/>
          <w:color w:val="333333"/>
          <w:sz w:val="20"/>
          <w:szCs w:val="20"/>
        </w:rPr>
        <w:t xml:space="preserve">The diversity and social justice component of ADJ 241 is a framework I have lived. My civil rights litigation is about exactly the systemic failures the DJ designation addresses: unconstitutional government conduct, abuse of power, and the failure of institutional mechanisms to protect individual rights. I have researched the Monell doctrine specifically to understand how systemic policies and customs can constitute constitutional violations — which is the structural analysis that the DJ framework demands.</w:t>
      </w:r>
    </w:p>
    <w:p>
      <w:pPr>
        <w:spacing w:after="120" w:before="0"/>
      </w:pPr>
    </w:p>
    <w:p>
      <w:pPr>
        <w:pStyle w:val="Heading3"/>
        <w:spacing w:after="120" w:before="220"/>
      </w:pPr>
      <w:r>
        <w:rPr>
          <w:rFonts w:ascii="Arial" w:cs="Arial" w:eastAsia="Arial" w:hAnsi="Arial"/>
          <w:b/>
          <w:bCs/>
          <w:i w:val="false"/>
          <w:iCs w:val="false"/>
          <w:caps w:val="false"/>
          <w:color w:val="2E75B6"/>
          <w:sz w:val="22"/>
          <w:szCs w:val="22"/>
        </w:rPr>
        <w:t xml:space="preserve">3.3.3 — Evidence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400"/>
        <w:gridCol w:w="3460"/>
      </w:tblGrid>
      <w:tr>
        <w:trPr>
          <w:tblHeader/>
        </w:trPr>
        <w:tc>
          <w:tcPr>
            <w:tcW w:type="dxa" w:w="29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Document / Record</w:t>
            </w:r>
          </w:p>
        </w:tc>
        <w:tc>
          <w:tcPr>
            <w:tcW w:type="dxa" w:w="16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Type</w:t>
            </w:r>
          </w:p>
        </w:tc>
        <w:tc>
          <w:tcPr>
            <w:tcW w:type="dxa" w:w="14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Date / Period</w:t>
            </w:r>
          </w:p>
        </w:tc>
        <w:tc>
          <w:tcPr>
            <w:tcW w:type="dxa" w:w="34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Course Relevance</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Philadelphia County Criminal Procedure Research Memoranda</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Legal Research</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2019–Present</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3, 5: PA Rules of Criminal Procedure; Philadelphia Municipal Court and CCP procedure; preliminary hearing; arraignment</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Montgomery County Criminal Court Procedure Research</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Legal Research</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2020–Present</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3, 4: Montgomery County CCP criminal procedure; bail; pretrial motions; discovery under Pa.R.Crim.P. 573</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Hatboro PD Conduct Research — 4th Amendment Analysis</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Research Memorandum</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Ongoing</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2, 5: Fourth Amendment; Terry; Mapp; exclusionary rule; specific officer conduct analysis</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 1983 Constitutional Criminal Procedure Claims</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Legal Document</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2021–Present</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2, 4, 5: 4th and 14th Amendment; Monell; unconstitutional custom/policy; due process</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Miranda/Fifth Amendment and Brady Material Research</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Research Memoranda</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Ongoing</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2: Miranda v. Arizona; Fifth Amendment privilege; Brady v. Maryland; prosecutorial disclosure obligations</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AmeriCorps NCCC Service — Diverse Community Engagement (3,629 total hours)</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Federal Service Letters (Atlantic + Pacific Regions)</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2011, 2012–2013</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4: Sustained direct engagement with underserved, diverse communities — addressing systemic equity issues in practice</w:t>
            </w:r>
          </w:p>
        </w:tc>
      </w:tr>
    </w:tbl>
    <w:p>
      <w:pPr>
        <w:spacing w:after="100" w:before="0"/>
      </w:pPr>
    </w:p>
    <w:p>
      <w:pPr>
        <w:pStyle w:val="Heading3"/>
        <w:spacing w:after="120" w:before="220"/>
      </w:pPr>
      <w:r>
        <w:rPr>
          <w:rFonts w:ascii="Arial" w:cs="Arial" w:eastAsia="Arial" w:hAnsi="Arial"/>
          <w:b/>
          <w:bCs/>
          <w:i w:val="false"/>
          <w:iCs w:val="false"/>
          <w:caps w:val="false"/>
          <w:color w:val="2E75B6"/>
          <w:sz w:val="22"/>
          <w:szCs w:val="22"/>
        </w:rPr>
        <w:t xml:space="preserve">3.3.4 — Rubric Self-Assessment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60"/>
        <w:gridCol w:w="1580"/>
        <w:gridCol w:w="1580"/>
        <w:gridCol w:w="1580"/>
        <w:gridCol w:w="1580"/>
        <w:gridCol w:w="1580"/>
      </w:tblGrid>
      <w:tr>
        <w:tc>
          <w:tcPr>
            <w:tcW w:type="dxa" w:w="1460"/>
            <w:tcBorders>
              <w:top w:val="single" w:color="333333" w:sz="4"/>
              <w:left w:val="single" w:color="333333" w:sz="4"/>
              <w:bottom w:val="single" w:color="333333" w:sz="4"/>
              <w:right w:val="single" w:color="333333" w:sz="4"/>
            </w:tcBorders>
            <w:shd w:fill="333333"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Criterion</w:t>
            </w:r>
          </w:p>
        </w:tc>
        <w:tc>
          <w:tcPr>
            <w:tcW w:type="dxa" w:w="1580"/>
            <w:tcBorders>
              <w:top w:val="thick" w:color="375623" w:sz="16"/>
              <w:left w:val="thick" w:color="375623" w:sz="16"/>
              <w:bottom w:val="thick" w:color="375623" w:sz="16"/>
              <w:right w:val="thick" w:color="375623" w:sz="16"/>
            </w:tcBorders>
            <w:shd w:fill="E2EFDA" w:val="clear"/>
            <w:tcMar>
              <w:top w:type="dxa" w:w="100"/>
              <w:left w:type="dxa" w:w="80"/>
              <w:bottom w:type="dxa" w:w="100"/>
              <w:right w:type="dxa" w:w="80"/>
            </w:tcMar>
            <w:vAlign w:val="center"/>
          </w:tcPr>
          <w:p>
            <w:pPr>
              <w:jc w:val="center"/>
            </w:pPr>
            <w:r>
              <w:rPr>
                <w:rFonts w:ascii="Arial" w:cs="Arial" w:eastAsia="Arial" w:hAnsi="Arial"/>
                <w:b/>
                <w:bCs/>
                <w:i w:val="false"/>
                <w:iCs w:val="false"/>
                <w:caps w:val="false"/>
                <w:color w:val="375623"/>
                <w:sz w:val="16"/>
                <w:szCs w:val="16"/>
              </w:rPr>
              <w:t xml:space="preserve">EXEMPLARY  ✓ Claimed</w:t>
            </w:r>
          </w:p>
        </w:tc>
        <w:tc>
          <w:tcPr>
            <w:tcW w:type="dxa" w:w="1580"/>
            <w:tcBorders>
              <w:top w:val="single" w:color="1F3864" w:sz="4"/>
              <w:left w:val="single" w:color="1F3864" w:sz="4"/>
              <w:bottom w:val="single" w:color="1F3864" w:sz="4"/>
              <w:right w:val="single" w:color="1F3864" w:sz="4"/>
            </w:tcBorders>
            <w:shd w:fill="DEEAF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1F3864"/>
                <w:sz w:val="16"/>
                <w:szCs w:val="16"/>
              </w:rPr>
              <w:t xml:space="preserve">PROFICIENT</w:t>
            </w:r>
          </w:p>
        </w:tc>
        <w:tc>
          <w:tcPr>
            <w:tcW w:type="dxa" w:w="1580"/>
            <w:tcBorders>
              <w:top w:val="single" w:color="7F6000" w:sz="4"/>
              <w:left w:val="single" w:color="7F6000" w:sz="4"/>
              <w:bottom w:val="single" w:color="7F6000" w:sz="4"/>
              <w:right w:val="single" w:color="7F6000" w:sz="4"/>
            </w:tcBorders>
            <w:shd w:fill="FFF2CC"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F6000"/>
                <w:sz w:val="16"/>
                <w:szCs w:val="16"/>
              </w:rPr>
              <w:t xml:space="preserve">COMPETENT</w:t>
            </w:r>
          </w:p>
        </w:tc>
        <w:tc>
          <w:tcPr>
            <w:tcW w:type="dxa" w:w="1580"/>
            <w:tcBorders>
              <w:top w:val="single" w:color="843C0C" w:sz="4"/>
              <w:left w:val="single" w:color="843C0C" w:sz="4"/>
              <w:bottom w:val="single" w:color="843C0C" w:sz="4"/>
              <w:right w:val="single" w:color="843C0C" w:sz="4"/>
            </w:tcBorders>
            <w:shd w:fill="FCE4D6"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843C0C"/>
                <w:sz w:val="16"/>
                <w:szCs w:val="16"/>
              </w:rPr>
              <w:t xml:space="preserve">DEVELOPING</w:t>
            </w:r>
          </w:p>
        </w:tc>
        <w:tc>
          <w:tcPr>
            <w:tcW w:type="dxa" w:w="1580"/>
            <w:tcBorders>
              <w:top w:val="single" w:color="7B0000" w:sz="4"/>
              <w:left w:val="single" w:color="7B0000" w:sz="4"/>
              <w:bottom w:val="single" w:color="7B0000" w:sz="4"/>
              <w:right w:val="single" w:color="7B0000" w:sz="4"/>
            </w:tcBorders>
            <w:shd w:fill="FFDFD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B0000"/>
                <w:sz w:val="16"/>
                <w:szCs w:val="16"/>
              </w:rPr>
              <w:t xml:space="preserve">INSUFFICIENT</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Level Description</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Exceeds all learning outcomes; independent mastery; could serve as a teaching example</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all learning outcomes with minimal guidance; demonstrates understanding and application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most learning outcomes; demonstrates adequate understanding with some gaps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some learning outcomes; demonstrates basic awareness but significant gaps remain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Fails to meet most learning outcomes; insufficient evidence of prior learning</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Criminal Law Knowledge</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have applied elements of PA Crimes Code offenses, analyzed charged offenses in specific matters, and researched the actus reus/mens rea framework across multiple criminal law contexts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Constitutional Criminal Procedure</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My § 1983 civil rights work requires and demonstrates mastery of 4th, 5th, and 14th Amendment criminal procedure doctrine applied to specific facts — exceeding ADJ 241's introductory survey</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Criminal Adjudication Process</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have researched the full Pennsylvania criminal procedure sequence in two counties — from arrest through sentencing — as applied to specific active matters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Diversity and Justice Analysis</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My civil rights litigation and AmeriCorps community service both directly address systemic justice failures — I bring lived, research-grounded understanding of the DJ framework</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bl>
    <w:p>
      <w:r>
        <w:br w:type="page"/>
      </w:r>
    </w:p>
    <w:p>
      <w:pPr>
        <w:pStyle w:val="Heading2"/>
        <w:spacing w:after="120" w:before="220"/>
      </w:pPr>
      <w:r>
        <w:rPr>
          <w:rFonts w:ascii="Arial" w:cs="Arial" w:eastAsia="Arial" w:hAnsi="Arial"/>
          <w:b/>
          <w:bCs/>
          <w:i w:val="false"/>
          <w:iCs w:val="false"/>
          <w:caps w:val="false"/>
          <w:color w:val="1F3864"/>
          <w:sz w:val="26"/>
          <w:szCs w:val="26"/>
        </w:rPr>
        <w:t xml:space="preserve">Section 3.4 — ADJ 101: Introduction to Criminal Justice</w:t>
      </w:r>
    </w:p>
    <w:p>
      <w:pPr>
        <w:pBdr>
          <w:bottom w:val="single" w:color="2E75B6" w:sz="8" w:space="1"/>
        </w:pBdr>
        <w:spacing w:after="1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560"/>
        <w:gridCol w:w="1000"/>
      </w:tblGrid>
      <w:tr>
        <w:tc>
          <w:tcPr>
            <w:tcW w:type="dxa" w:w="1800"/>
            <w:tcBorders>
              <w:top w:val="single" w:color="1F6B75" w:sz="4"/>
              <w:left w:val="single" w:color="1F6B75" w:sz="4"/>
              <w:bottom w:val="single" w:color="1F6B75" w:sz="4"/>
              <w:right w:val="single" w:color="1F6B75" w:sz="4"/>
            </w:tcBorders>
            <w:shd w:fill="1F6B75"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ADJ 101</w:t>
            </w:r>
          </w:p>
        </w:tc>
        <w:tc>
          <w:tcPr>
            <w:tcW w:type="dxa" w:w="65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Introduction to Criminal Justice</w:t>
            </w:r>
          </w:p>
        </w:tc>
        <w:tc>
          <w:tcPr>
            <w:tcW w:type="dxa" w:w="1000"/>
            <w:tcBorders>
              <w:top w:val="single" w:color="2E75B6" w:sz="4"/>
              <w:left w:val="single" w:color="2E75B6" w:sz="4"/>
              <w:bottom w:val="single" w:color="2E75B6" w:sz="4"/>
              <w:right w:val="single" w:color="2E75B6" w:sz="4"/>
            </w:tcBorders>
            <w:shd w:fill="2E75B6"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3 Credits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Catalog Description</w:t>
            </w:r>
          </w:p>
        </w:tc>
        <w:tc>
          <w:tcPr>
            <w:tcW w:type="dxa" w:w="75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Survey of the U.S. criminal justice system: law enforcement, courts, corrections, and juvenile justice. Examines crime causation theories, criminal law, constitutional rights, and social policy. Introduces research methods and data analysis in criminal justice contexts.</w:t>
            </w:r>
          </w:p>
        </w:tc>
      </w:tr>
      <w:tr>
        <w:tc>
          <w:tcPr>
            <w:tcW w:type="dxa" w:w="18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FFFFFF"/>
                <w:sz w:val="18"/>
                <w:szCs w:val="18"/>
              </w:rPr>
              <w:t xml:space="preserve">My PLA Basis</w:t>
            </w:r>
          </w:p>
        </w:tc>
        <w:tc>
          <w:tcPr>
            <w:tcW w:type="dxa" w:w="75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My active engagement with all three components of the criminal justice system — law enforcement (Hatboro PD research; police conduct analysis), courts (Philadelphia County, Montgomery County, Delaware County), and constitutional framework — through both civil rights litigation and pro se criminal procedure research has given me a comprehensive, applied knowledge of the CJ system that this survey course introduces.</w:t>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3.4.1 — Learning Outcomes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200"/>
        <w:gridCol w:w="2800"/>
      </w:tblGrid>
      <w:tr>
        <w:trPr>
          <w:tblHeader/>
        </w:trPr>
        <w:tc>
          <w:tcPr>
            <w:tcW w:type="dxa" w:w="33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Learning Outcome (DCCC Catalog)</w:t>
            </w:r>
          </w:p>
        </w:tc>
        <w:tc>
          <w:tcPr>
            <w:tcW w:type="dxa" w:w="32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My Demonstrated Competency / Experience</w:t>
            </w:r>
          </w:p>
        </w:tc>
        <w:tc>
          <w:tcPr>
            <w:tcW w:type="dxa" w:w="28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Supporting Documentation</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1: </w:t>
            </w:r>
            <w:r>
              <w:rPr>
                <w:rFonts w:ascii="Arial" w:cs="Arial" w:eastAsia="Arial" w:hAnsi="Arial"/>
                <w:b w:val="false"/>
                <w:bCs w:val="false"/>
                <w:i w:val="false"/>
                <w:iCs w:val="false"/>
                <w:caps w:val="false"/>
                <w:color w:val="333333"/>
                <w:sz w:val="18"/>
                <w:szCs w:val="18"/>
              </w:rPr>
              <w:t xml:space="preserve">Identify and describe the components of the U.S. criminal justice system.</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direct experience with all three CJ system components. Law enforcement: I have analyzed police conduct, use of force, investigative procedures, and constitutional constraints on policing in connection with specific Hatboro PD and Philadelphia/Montgomery County matters. Courts: I have navigated the Pennsylvania and federal court systems across multiple proceedings. Corrections: I have researched sentencing standards, conditions of confinement, and post-conviction remedies.</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Police conduct research; court filings across three PA jurisdictions; USDC EDPA federal litigation; sentencing and post-conviction research</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2: </w:t>
            </w:r>
            <w:r>
              <w:rPr>
                <w:rFonts w:ascii="Arial" w:cs="Arial" w:eastAsia="Arial" w:hAnsi="Arial"/>
                <w:b w:val="false"/>
                <w:bCs w:val="false"/>
                <w:i w:val="false"/>
                <w:iCs w:val="false"/>
                <w:caps w:val="false"/>
                <w:color w:val="333333"/>
                <w:sz w:val="18"/>
                <w:szCs w:val="18"/>
              </w:rPr>
              <w:t xml:space="preserve">Discuss crime causation theories and their policy implications.</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My § 1983 civil rights work required me to research and apply Monell v. Department of Social Services, which is fundamentally a theory of institutionally caused harm — the 'policy or custom' requirement is a causal theory of crime and misconduct at the organizational level. I have also researched social disorganization theory, differential association, and strain theory in the context of my civil rights analysis.</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Monell analysis memoranda; institutional causation research; social policy analysis in § 1983 context</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3: </w:t>
            </w:r>
            <w:r>
              <w:rPr>
                <w:rFonts w:ascii="Arial" w:cs="Arial" w:eastAsia="Arial" w:hAnsi="Arial"/>
                <w:b w:val="false"/>
                <w:bCs w:val="false"/>
                <w:i w:val="false"/>
                <w:iCs w:val="false"/>
                <w:caps w:val="false"/>
                <w:color w:val="333333"/>
                <w:sz w:val="18"/>
                <w:szCs w:val="18"/>
              </w:rPr>
              <w:t xml:space="preserve">Identify constitutional protections applicable to the criminal justice process.</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comprehensively researched the constitutional framework of criminal procedure: 4th Amendment (search and seizure), 5th Amendment (self-incrimination), 6th Amendment (counsel, confrontation, speedy trial), and 14th Amendment (due process, equal protection) — as applied in specific matters.</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Constitutional research memoranda; § 1983 complaint with constitutional analysis; PA criminal procedure research</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4: </w:t>
            </w:r>
            <w:r>
              <w:rPr>
                <w:rFonts w:ascii="Arial" w:cs="Arial" w:eastAsia="Arial" w:hAnsi="Arial"/>
                <w:b w:val="false"/>
                <w:bCs w:val="false"/>
                <w:i w:val="false"/>
                <w:iCs w:val="false"/>
                <w:caps w:val="false"/>
                <w:color w:val="333333"/>
                <w:sz w:val="18"/>
                <w:szCs w:val="18"/>
              </w:rPr>
              <w:t xml:space="preserve">Apply research and data analysis skills to criminal justice problems.</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conducted systematic research on police conduct patterns, crime statistics, and criminal justice data in connection with my civil rights and criminal procedure work. I understand how to analyze government records, court statistics, and law enforcement data to identify patterns relevant to legal arguments.</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RTKL requests for government records; research into crime and arrest data; analysis of court records and statistics in relevant jurisdictions</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5: </w:t>
            </w:r>
            <w:r>
              <w:rPr>
                <w:rFonts w:ascii="Arial" w:cs="Arial" w:eastAsia="Arial" w:hAnsi="Arial"/>
                <w:b w:val="false"/>
                <w:bCs w:val="false"/>
                <w:i w:val="false"/>
                <w:iCs w:val="false"/>
                <w:caps w:val="false"/>
                <w:color w:val="333333"/>
                <w:sz w:val="18"/>
                <w:szCs w:val="18"/>
              </w:rPr>
              <w:t xml:space="preserve">Discuss social policy issues affecting criminal justice administration.</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My § 1983 work directly addresses criminal justice social policy: unconstitutional policing practices, systemic bias, failure-to-train claims, and the policy conditions that produce rights violations. I have researched these issues at the intersection of law and social policy for years.</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 1983 Monell claims addressing systemic policy failures; research into PA criminal justice reform context; social policy analysis in civil rights framework</w:t>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3.4.2 — My Competency Narrative</w:t>
      </w:r>
    </w:p>
    <w:p>
      <w:pPr>
        <w:spacing w:after="120" w:before="80" w:line="276"/>
        <w:jc w:val="left"/>
      </w:pPr>
      <w:r>
        <w:rPr>
          <w:rFonts w:ascii="Arial" w:cs="Arial" w:eastAsia="Arial" w:hAnsi="Arial"/>
          <w:b w:val="false"/>
          <w:bCs w:val="false"/>
          <w:i w:val="false"/>
          <w:iCs w:val="false"/>
          <w:caps w:val="false"/>
          <w:color w:val="333333"/>
          <w:sz w:val="20"/>
          <w:szCs w:val="20"/>
        </w:rPr>
        <w:t xml:space="preserve">Introduction to Criminal Justice surveys the three pillars of the CJ system — law enforcement, courts, and corrections — and introduces the theoretical and constitutional frameworks that govern each. I have engaged with all three pillars at a professional level through my litigation and research.</w:t>
      </w:r>
    </w:p>
    <w:p>
      <w:pPr>
        <w:spacing w:after="120" w:before="80" w:line="276"/>
        <w:jc w:val="left"/>
      </w:pPr>
      <w:r>
        <w:rPr>
          <w:rFonts w:ascii="Arial" w:cs="Arial" w:eastAsia="Arial" w:hAnsi="Arial"/>
          <w:b w:val="false"/>
          <w:bCs w:val="false"/>
          <w:i w:val="false"/>
          <w:iCs w:val="false"/>
          <w:caps w:val="false"/>
          <w:color w:val="333333"/>
          <w:sz w:val="20"/>
          <w:szCs w:val="20"/>
        </w:rPr>
        <w:t xml:space="preserve">My engagement with law enforcement goes far beyond general knowledge. I have researched specific police department practices, analyzed Fourth Amendment constraints on police conduct, reviewed use-of-force standards, and researched the internal review and accountability mechanisms (or lack thereof) within specific departments. This includes detailed analysis of Hatboro Police Department conduct and Philadelphia County law enforcement procedures. I understand the organizational structure of policing, the legal authority that governs police action, and the constitutional limits on that authority.</w:t>
      </w:r>
    </w:p>
    <w:p>
      <w:pPr>
        <w:spacing w:after="120" w:before="80" w:line="276"/>
        <w:jc w:val="left"/>
      </w:pPr>
      <w:r>
        <w:rPr>
          <w:rFonts w:ascii="Arial" w:cs="Arial" w:eastAsia="Arial" w:hAnsi="Arial"/>
          <w:b w:val="false"/>
          <w:bCs w:val="false"/>
          <w:i w:val="false"/>
          <w:iCs w:val="false"/>
          <w:caps w:val="false"/>
          <w:color w:val="333333"/>
          <w:sz w:val="20"/>
          <w:szCs w:val="20"/>
        </w:rPr>
        <w:t xml:space="preserve">My court experience spans three Pennsylvania counties and the federal district court. I understand the jurisdiction of each tribunal, the procedural rules that govern proceedings at each level, the role of prosecutors and defense counsel, and the adversarial process from initial charging through post-conviction relief. I have researched grand jury procedure, preliminary hearings, plea negotiations, jury selection, and sentencing guidelines. This is comprehensive court-system knowledge.</w:t>
      </w:r>
    </w:p>
    <w:p>
      <w:pPr>
        <w:spacing w:after="120" w:before="80" w:line="276"/>
        <w:jc w:val="left"/>
      </w:pPr>
      <w:r>
        <w:rPr>
          <w:rFonts w:ascii="Arial" w:cs="Arial" w:eastAsia="Arial" w:hAnsi="Arial"/>
          <w:b w:val="false"/>
          <w:bCs w:val="false"/>
          <w:i w:val="false"/>
          <w:iCs w:val="false"/>
          <w:caps w:val="false"/>
          <w:color w:val="333333"/>
          <w:sz w:val="20"/>
          <w:szCs w:val="20"/>
        </w:rPr>
        <w:t xml:space="preserve">On corrections, I have researched sentencing standards under the Pennsylvania Sentencing Guidelines, the Eighth Amendment's cruel and unusual punishment framework, conditions-of-confinement claims under § 1983, and the civil rights of incarcerated persons. I understand the correctional system's legal framework at a level that exceeds the survey this course provides.</w:t>
      </w:r>
    </w:p>
    <w:p>
      <w:pPr>
        <w:spacing w:after="120" w:before="80" w:line="276"/>
        <w:jc w:val="left"/>
      </w:pPr>
      <w:r>
        <w:rPr>
          <w:rFonts w:ascii="Arial" w:cs="Arial" w:eastAsia="Arial" w:hAnsi="Arial"/>
          <w:b w:val="false"/>
          <w:bCs w:val="false"/>
          <w:i w:val="false"/>
          <w:iCs w:val="false"/>
          <w:caps w:val="false"/>
          <w:color w:val="333333"/>
          <w:sz w:val="20"/>
          <w:szCs w:val="20"/>
        </w:rPr>
        <w:t xml:space="preserve">My AmeriCorps service — 3,629 hours across two complete federal terms — gave me direct exposure to the communities most affected by criminal justice policy. Working in underserved communities across two regions of the country, I observed firsthand the social conditions and systemic inequities that drive criminal justice policy debates. This is experiential learning that the classroom cannot replicate.</w:t>
      </w:r>
    </w:p>
    <w:p>
      <w:pPr>
        <w:spacing w:after="120" w:before="0"/>
      </w:pPr>
    </w:p>
    <w:p>
      <w:pPr>
        <w:pStyle w:val="Heading3"/>
        <w:spacing w:after="120" w:before="220"/>
      </w:pPr>
      <w:r>
        <w:rPr>
          <w:rFonts w:ascii="Arial" w:cs="Arial" w:eastAsia="Arial" w:hAnsi="Arial"/>
          <w:b/>
          <w:bCs/>
          <w:i w:val="false"/>
          <w:iCs w:val="false"/>
          <w:caps w:val="false"/>
          <w:color w:val="2E75B6"/>
          <w:sz w:val="22"/>
          <w:szCs w:val="22"/>
        </w:rPr>
        <w:t xml:space="preserve">3.4.3 — Evidence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400"/>
        <w:gridCol w:w="3460"/>
      </w:tblGrid>
      <w:tr>
        <w:trPr>
          <w:tblHeader/>
        </w:trPr>
        <w:tc>
          <w:tcPr>
            <w:tcW w:type="dxa" w:w="29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Document / Record</w:t>
            </w:r>
          </w:p>
        </w:tc>
        <w:tc>
          <w:tcPr>
            <w:tcW w:type="dxa" w:w="16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Type</w:t>
            </w:r>
          </w:p>
        </w:tc>
        <w:tc>
          <w:tcPr>
            <w:tcW w:type="dxa" w:w="14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Date / Period</w:t>
            </w:r>
          </w:p>
        </w:tc>
        <w:tc>
          <w:tcPr>
            <w:tcW w:type="dxa" w:w="34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Course Relevance</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Law Enforcement Conduct Research — Hatboro PD and Philadelphia County</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Legal Research</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2019–Present</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3: Law enforcement system; constitutional constraints on policing; 4th Amendment</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 1983 Civil Rights Complaint — Monell Claims</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Court Filing</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2021–Present</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2, 5: Institutional causation; CJ system failure; constitutional violations; social policy analysis</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Pennsylvania Court System Research — Three Counties</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Legal Research</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2019–Present</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3: Court system structure; jurisdiction; procedure from charging through post-conviction</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AmeriCorps NCCC Service Letters — Atlantic (1,746 hrs) and Pacific (1,883 hrs)</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Official Federal Service Letters</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2011, 2012–2013</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5: Direct community engagement addressing social conditions that shape CJ policy; 3,629 total service hours</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RTKL Government Records Research</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Administrative Research</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2020–Present</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4: Government data analysis; RTKL requests for records; research methodology in government accountability context</w:t>
            </w:r>
          </w:p>
        </w:tc>
      </w:tr>
    </w:tbl>
    <w:p>
      <w:pPr>
        <w:spacing w:after="100" w:before="0"/>
      </w:pPr>
    </w:p>
    <w:p>
      <w:pPr>
        <w:pStyle w:val="Heading3"/>
        <w:spacing w:after="120" w:before="220"/>
      </w:pPr>
      <w:r>
        <w:rPr>
          <w:rFonts w:ascii="Arial" w:cs="Arial" w:eastAsia="Arial" w:hAnsi="Arial"/>
          <w:b/>
          <w:bCs/>
          <w:i w:val="false"/>
          <w:iCs w:val="false"/>
          <w:caps w:val="false"/>
          <w:color w:val="2E75B6"/>
          <w:sz w:val="22"/>
          <w:szCs w:val="22"/>
        </w:rPr>
        <w:t xml:space="preserve">3.4.4 — Rubric Self-Assessment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60"/>
        <w:gridCol w:w="1580"/>
        <w:gridCol w:w="1580"/>
        <w:gridCol w:w="1580"/>
        <w:gridCol w:w="1580"/>
        <w:gridCol w:w="1580"/>
      </w:tblGrid>
      <w:tr>
        <w:tc>
          <w:tcPr>
            <w:tcW w:type="dxa" w:w="1460"/>
            <w:tcBorders>
              <w:top w:val="single" w:color="333333" w:sz="4"/>
              <w:left w:val="single" w:color="333333" w:sz="4"/>
              <w:bottom w:val="single" w:color="333333" w:sz="4"/>
              <w:right w:val="single" w:color="333333" w:sz="4"/>
            </w:tcBorders>
            <w:shd w:fill="333333"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Criterion</w:t>
            </w:r>
          </w:p>
        </w:tc>
        <w:tc>
          <w:tcPr>
            <w:tcW w:type="dxa" w:w="1580"/>
            <w:tcBorders>
              <w:top w:val="single" w:color="375623" w:sz="4"/>
              <w:left w:val="single" w:color="375623" w:sz="4"/>
              <w:bottom w:val="single" w:color="375623" w:sz="4"/>
              <w:right w:val="single" w:color="375623" w:sz="4"/>
            </w:tcBorders>
            <w:shd w:fill="E2EFDA"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375623"/>
                <w:sz w:val="16"/>
                <w:szCs w:val="16"/>
              </w:rPr>
              <w:t xml:space="preserve">EXEMPLARY</w:t>
            </w:r>
          </w:p>
        </w:tc>
        <w:tc>
          <w:tcPr>
            <w:tcW w:type="dxa" w:w="1580"/>
            <w:tcBorders>
              <w:top w:val="thick" w:color="1F3864" w:sz="16"/>
              <w:left w:val="thick" w:color="1F3864" w:sz="16"/>
              <w:bottom w:val="thick" w:color="1F3864" w:sz="16"/>
              <w:right w:val="thick" w:color="1F3864" w:sz="16"/>
            </w:tcBorders>
            <w:shd w:fill="DEEAF1" w:val="clear"/>
            <w:tcMar>
              <w:top w:type="dxa" w:w="100"/>
              <w:left w:type="dxa" w:w="80"/>
              <w:bottom w:type="dxa" w:w="100"/>
              <w:right w:type="dxa" w:w="80"/>
            </w:tcMar>
            <w:vAlign w:val="center"/>
          </w:tcPr>
          <w:p>
            <w:pPr>
              <w:jc w:val="center"/>
            </w:pPr>
            <w:r>
              <w:rPr>
                <w:rFonts w:ascii="Arial" w:cs="Arial" w:eastAsia="Arial" w:hAnsi="Arial"/>
                <w:b/>
                <w:bCs/>
                <w:i w:val="false"/>
                <w:iCs w:val="false"/>
                <w:caps w:val="false"/>
                <w:color w:val="1F3864"/>
                <w:sz w:val="16"/>
                <w:szCs w:val="16"/>
              </w:rPr>
              <w:t xml:space="preserve">PROFICIENT  ✓ Claimed</w:t>
            </w:r>
          </w:p>
        </w:tc>
        <w:tc>
          <w:tcPr>
            <w:tcW w:type="dxa" w:w="1580"/>
            <w:tcBorders>
              <w:top w:val="single" w:color="7F6000" w:sz="4"/>
              <w:left w:val="single" w:color="7F6000" w:sz="4"/>
              <w:bottom w:val="single" w:color="7F6000" w:sz="4"/>
              <w:right w:val="single" w:color="7F6000" w:sz="4"/>
            </w:tcBorders>
            <w:shd w:fill="FFF2CC"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F6000"/>
                <w:sz w:val="16"/>
                <w:szCs w:val="16"/>
              </w:rPr>
              <w:t xml:space="preserve">COMPETENT</w:t>
            </w:r>
          </w:p>
        </w:tc>
        <w:tc>
          <w:tcPr>
            <w:tcW w:type="dxa" w:w="1580"/>
            <w:tcBorders>
              <w:top w:val="single" w:color="843C0C" w:sz="4"/>
              <w:left w:val="single" w:color="843C0C" w:sz="4"/>
              <w:bottom w:val="single" w:color="843C0C" w:sz="4"/>
              <w:right w:val="single" w:color="843C0C" w:sz="4"/>
            </w:tcBorders>
            <w:shd w:fill="FCE4D6"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843C0C"/>
                <w:sz w:val="16"/>
                <w:szCs w:val="16"/>
              </w:rPr>
              <w:t xml:space="preserve">DEVELOPING</w:t>
            </w:r>
          </w:p>
        </w:tc>
        <w:tc>
          <w:tcPr>
            <w:tcW w:type="dxa" w:w="1580"/>
            <w:tcBorders>
              <w:top w:val="single" w:color="7B0000" w:sz="4"/>
              <w:left w:val="single" w:color="7B0000" w:sz="4"/>
              <w:bottom w:val="single" w:color="7B0000" w:sz="4"/>
              <w:right w:val="single" w:color="7B0000" w:sz="4"/>
            </w:tcBorders>
            <w:shd w:fill="FFDFD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B0000"/>
                <w:sz w:val="16"/>
                <w:szCs w:val="16"/>
              </w:rPr>
              <w:t xml:space="preserve">INSUFFICIENT</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Level Description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Exceeds all learning outcomes; independent mastery; could serve as a teaching example</w:t>
            </w:r>
          </w:p>
        </w:tc>
        <w:tc>
          <w:tcPr>
            <w:tcW w:type="dxa" w:w="158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all learning outcomes with minimal guidance; demonstrates understanding and application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most learning outcomes; demonstrates adequate understanding with some gaps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some learning outcomes; demonstrates basic awareness but significant gaps remain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Fails to meet most learning outcomes; insufficient evidence of prior learning</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CJ System Knowledge</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have direct, applied knowledge of all three CJ system components — law enforcement, courts, and corrections — through active litigation, research, and community service across multiple jurisdictions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Constitutional Framework</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My research comprehensively covers the 4th, 5th, 6th, and 14th Amendment framework as applied to criminal procedure — at a level exceeding ADJ 101's introductory treatment</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Crime Causation and Social Policy</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My Monell civil rights work requires applied understanding of institutional causation theories; my AmeriCorps service provides direct experiential grounding in the social conditions that shape CJ policy</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Research and Data Analysis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have conducted systematic legal and governmental research using RTKL requests, public records, and primary source databases in CJ contexts across multiple jurisdictions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bl>
    <w:p>
      <w:r>
        <w:br w:type="page"/>
      </w:r>
    </w:p>
    <w:p>
      <w:pPr>
        <w:pStyle w:val="Heading2"/>
        <w:spacing w:after="120" w:before="220"/>
      </w:pPr>
      <w:r>
        <w:rPr>
          <w:rFonts w:ascii="Arial" w:cs="Arial" w:eastAsia="Arial" w:hAnsi="Arial"/>
          <w:b/>
          <w:bCs/>
          <w:i w:val="false"/>
          <w:iCs w:val="false"/>
          <w:caps w:val="false"/>
          <w:color w:val="1F3864"/>
          <w:sz w:val="26"/>
          <w:szCs w:val="26"/>
        </w:rPr>
        <w:t xml:space="preserve">Section 3.5 — ADJ 225: Ethics in Criminal Justice</w:t>
      </w:r>
    </w:p>
    <w:p>
      <w:pPr>
        <w:pBdr>
          <w:bottom w:val="single" w:color="2E75B6" w:sz="8" w:space="1"/>
        </w:pBdr>
        <w:spacing w:after="1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560"/>
        <w:gridCol w:w="1000"/>
      </w:tblGrid>
      <w:tr>
        <w:tc>
          <w:tcPr>
            <w:tcW w:type="dxa" w:w="1800"/>
            <w:tcBorders>
              <w:top w:val="single" w:color="1F6B75" w:sz="4"/>
              <w:left w:val="single" w:color="1F6B75" w:sz="4"/>
              <w:bottom w:val="single" w:color="1F6B75" w:sz="4"/>
              <w:right w:val="single" w:color="1F6B75" w:sz="4"/>
            </w:tcBorders>
            <w:shd w:fill="1F6B75"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ADJ 225</w:t>
            </w:r>
          </w:p>
        </w:tc>
        <w:tc>
          <w:tcPr>
            <w:tcW w:type="dxa" w:w="65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Ethics in Criminal Justice</w:t>
            </w:r>
          </w:p>
        </w:tc>
        <w:tc>
          <w:tcPr>
            <w:tcW w:type="dxa" w:w="1000"/>
            <w:tcBorders>
              <w:top w:val="single" w:color="2E75B6" w:sz="4"/>
              <w:left w:val="single" w:color="2E75B6" w:sz="4"/>
              <w:bottom w:val="single" w:color="2E75B6" w:sz="4"/>
              <w:right w:val="single" w:color="2E75B6" w:sz="4"/>
            </w:tcBorders>
            <w:shd w:fill="2E75B6"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3 Credits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Catalog Description</w:t>
            </w:r>
          </w:p>
        </w:tc>
        <w:tc>
          <w:tcPr>
            <w:tcW w:type="dxa" w:w="75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Examination of ethical theories and their application to criminal justice practice: police ethics, prosecutorial ethics, corrections ethics, and judicial conduct. Analyzes ethical decision-making, codes of conduct, misconduct, corruption, and accountability mechanisms in CJ institutions.</w:t>
            </w:r>
          </w:p>
        </w:tc>
      </w:tr>
      <w:tr>
        <w:tc>
          <w:tcPr>
            <w:tcW w:type="dxa" w:w="18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FFFFFF"/>
                <w:sz w:val="18"/>
                <w:szCs w:val="18"/>
              </w:rPr>
              <w:t xml:space="preserve">My PLA Basis</w:t>
            </w:r>
          </w:p>
        </w:tc>
        <w:tc>
          <w:tcPr>
            <w:tcW w:type="dxa" w:w="75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My § 1983 civil rights litigation is fundamentally an ethics case: it addresses unconstitutional police conduct, institutional accountability failures, and the ethical obligations of government actors. I have researched police ethics codes, Pa.R.P.C. professional conduct rules, prosecutorial ethics standards, and the legal frameworks for addressing misconduct — which together cover the core curriculum of ADJ 225.</w:t>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3.5.1 — Learning Outcomes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200"/>
        <w:gridCol w:w="2800"/>
      </w:tblGrid>
      <w:tr>
        <w:trPr>
          <w:tblHeader/>
        </w:trPr>
        <w:tc>
          <w:tcPr>
            <w:tcW w:type="dxa" w:w="33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Learning Outcome (DCCC Catalog)</w:t>
            </w:r>
          </w:p>
        </w:tc>
        <w:tc>
          <w:tcPr>
            <w:tcW w:type="dxa" w:w="32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My Demonstrated Competency / Experience</w:t>
            </w:r>
          </w:p>
        </w:tc>
        <w:tc>
          <w:tcPr>
            <w:tcW w:type="dxa" w:w="28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Supporting Documentation</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1: </w:t>
            </w:r>
            <w:r>
              <w:rPr>
                <w:rFonts w:ascii="Arial" w:cs="Arial" w:eastAsia="Arial" w:hAnsi="Arial"/>
                <w:b w:val="false"/>
                <w:bCs w:val="false"/>
                <w:i w:val="false"/>
                <w:iCs w:val="false"/>
                <w:caps w:val="false"/>
                <w:color w:val="333333"/>
                <w:sz w:val="18"/>
                <w:szCs w:val="18"/>
              </w:rPr>
              <w:t xml:space="preserve">Identify and apply major ethical theories (utilitarianism, deontology, virtue ethics) to CJ contexts.</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applied all three major ethical frameworks in my legal work: deontological analysis (what duties do police officers owe to citizens under the Constitution?); consequentialist analysis (what outcomes result from unconstitutional policing policies?); virtue ethics (what character should public servants exercise?). My § 1983 complaint frames police misconduct within an ethical framework of constitutional duty.</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 1983 complaint framing constitutional violations as ethical failures; Monell policy analysis examining consequences of unconstitutional customs; due process analysis grounded in duty-based constitutional ethics</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2: </w:t>
            </w:r>
            <w:r>
              <w:rPr>
                <w:rFonts w:ascii="Arial" w:cs="Arial" w:eastAsia="Arial" w:hAnsi="Arial"/>
                <w:b w:val="false"/>
                <w:bCs w:val="false"/>
                <w:i w:val="false"/>
                <w:iCs w:val="false"/>
                <w:caps w:val="false"/>
                <w:color w:val="333333"/>
                <w:sz w:val="18"/>
                <w:szCs w:val="18"/>
              </w:rPr>
              <w:t xml:space="preserve">Examine police ethics, codes of conduct, and accountability structures.</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researched specific police department policies, codes of conduct, internal affairs procedures, and accountability mechanisms — and identified the gap between written policy and actual practice that forms the basis of Monell liability. I understand IACP ethics codes, Pennsylvania police officer standards (MPOETC), and the legal accountability structures that govern officer conduct.</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Police conduct research; internal affairs procedure analysis; MPOETC standards research; policy-practice gap analysis in Monell claims</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3: </w:t>
            </w:r>
            <w:r>
              <w:rPr>
                <w:rFonts w:ascii="Arial" w:cs="Arial" w:eastAsia="Arial" w:hAnsi="Arial"/>
                <w:b w:val="false"/>
                <w:bCs w:val="false"/>
                <w:i w:val="false"/>
                <w:iCs w:val="false"/>
                <w:caps w:val="false"/>
                <w:color w:val="333333"/>
                <w:sz w:val="18"/>
                <w:szCs w:val="18"/>
              </w:rPr>
              <w:t xml:space="preserve">Analyze prosecutorial ethics and judicial conduct standards.</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researched prosecutorial ethics in connection with Brady disclosure obligations, the duty not to present false evidence, and the ethical constraints on charging decisions. I understand Pa.R.P.C. Rule 3.8 (special responsibilities of prosecutors) and its federal counterpart. I have also researched judicial conduct standards under the Pennsylvania Code of Judicial Conduct.</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Brady v. Maryland disclosure obligation research; Pa.R.P.C. 3.8 prosecutorial ethics research; Pennsylvania Code of Judicial Conduct analysis</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4: </w:t>
            </w:r>
            <w:r>
              <w:rPr>
                <w:rFonts w:ascii="Arial" w:cs="Arial" w:eastAsia="Arial" w:hAnsi="Arial"/>
                <w:b w:val="false"/>
                <w:bCs w:val="false"/>
                <w:i w:val="false"/>
                <w:iCs w:val="false"/>
                <w:caps w:val="false"/>
                <w:color w:val="333333"/>
                <w:sz w:val="18"/>
                <w:szCs w:val="18"/>
              </w:rPr>
              <w:t xml:space="preserve">Evaluate misconduct, corruption, and whistleblowing in CJ institutions.</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Misconduct analysis is central to my civil rights case. I have researched the standards for proving official misconduct under § 1983, the deliberate indifference standard for failure-to-train claims, and the qualified immunity doctrine that shields officers from civil liability — understanding both its scope and its critics.</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 1983 individual defendant analysis; deliberate indifference standard research; qualified immunity doctrine research and critique</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5: </w:t>
            </w:r>
            <w:r>
              <w:rPr>
                <w:rFonts w:ascii="Arial" w:cs="Arial" w:eastAsia="Arial" w:hAnsi="Arial"/>
                <w:b w:val="false"/>
                <w:bCs w:val="false"/>
                <w:i w:val="false"/>
                <w:iCs w:val="false"/>
                <w:caps w:val="false"/>
                <w:color w:val="333333"/>
                <w:sz w:val="18"/>
                <w:szCs w:val="18"/>
              </w:rPr>
              <w:t xml:space="preserve">Discuss ethical obligations related to diversity and social justice in CJ practice.</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My civil rights work directly addresses the ethical dimension of disparate treatment and systemic bias in CJ institutions. I have researched equal protection doctrine, discriminatory enforcement standards, and the ethical obligations of government actors to treat all persons with constitutional equality.</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Equal protection research; disparate treatment analysis; § 1983 equal protection claims; Monell systemic bias analysis</w:t>
            </w:r>
          </w:p>
        </w:tc>
      </w:tr>
    </w:tbl>
    <w:p>
      <w:pPr>
        <w:spacing w:after="120" w:before="0"/>
      </w:pPr>
    </w:p>
    <w:p>
      <w:pPr>
        <w:pStyle w:val="Heading3"/>
        <w:spacing w:after="120" w:before="220"/>
      </w:pPr>
      <w:r>
        <w:rPr>
          <w:rFonts w:ascii="Arial" w:cs="Arial" w:eastAsia="Arial" w:hAnsi="Arial"/>
          <w:b/>
          <w:bCs/>
          <w:i w:val="false"/>
          <w:iCs w:val="false"/>
          <w:caps w:val="false"/>
          <w:color w:val="2E75B6"/>
          <w:sz w:val="22"/>
          <w:szCs w:val="22"/>
        </w:rPr>
        <w:t xml:space="preserve">3.5.2 — My Competency Narrative</w:t>
      </w:r>
    </w:p>
    <w:p>
      <w:pPr>
        <w:spacing w:after="120" w:before="80" w:line="276"/>
        <w:jc w:val="left"/>
      </w:pPr>
      <w:r>
        <w:rPr>
          <w:rFonts w:ascii="Arial" w:cs="Arial" w:eastAsia="Arial" w:hAnsi="Arial"/>
          <w:b w:val="false"/>
          <w:bCs w:val="false"/>
          <w:i w:val="false"/>
          <w:iCs w:val="false"/>
          <w:caps w:val="false"/>
          <w:color w:val="333333"/>
          <w:sz w:val="20"/>
          <w:szCs w:val="20"/>
        </w:rPr>
        <w:t xml:space="preserve">Criminal justice ethics is not an abstract subject for me. My 42 U.S.C. § 1983 civil rights action is, at its core, a case about the ethical failures of government actors — the gap between the constitutional duties that police officers and institutions owe to citizens, and the conduct that actually occurred. Every element of ADJ 225's curriculum maps directly to the research and analysis I have done in preparing my civil rights case.</w:t>
      </w:r>
    </w:p>
    <w:p>
      <w:pPr>
        <w:spacing w:after="120" w:before="80" w:line="276"/>
        <w:jc w:val="left"/>
      </w:pPr>
      <w:r>
        <w:rPr>
          <w:rFonts w:ascii="Arial" w:cs="Arial" w:eastAsia="Arial" w:hAnsi="Arial"/>
          <w:b w:val="false"/>
          <w:bCs w:val="false"/>
          <w:i w:val="false"/>
          <w:iCs w:val="false"/>
          <w:caps w:val="false"/>
          <w:color w:val="333333"/>
          <w:sz w:val="20"/>
          <w:szCs w:val="20"/>
        </w:rPr>
        <w:t xml:space="preserve">I have researched police ethics at multiple levels: the individual officer's duty to comply with constitutional requirements; the supervisor's duty to train and supervise; and the institution's obligation to maintain policies and customs that do not deprive citizens of constitutional rights. The Monell doctrine is an ethics doctrine dressed in legal language: it says that institutions are accountable for their ethical choices about policy and training, and that those choices have constitutional consequences when they produce rights violations.</w:t>
      </w:r>
    </w:p>
    <w:p>
      <w:pPr>
        <w:spacing w:after="120" w:before="80" w:line="276"/>
        <w:jc w:val="left"/>
      </w:pPr>
      <w:r>
        <w:rPr>
          <w:rFonts w:ascii="Arial" w:cs="Arial" w:eastAsia="Arial" w:hAnsi="Arial"/>
          <w:b w:val="false"/>
          <w:bCs w:val="false"/>
          <w:i w:val="false"/>
          <w:iCs w:val="false"/>
          <w:caps w:val="false"/>
          <w:color w:val="333333"/>
          <w:sz w:val="20"/>
          <w:szCs w:val="20"/>
        </w:rPr>
        <w:t xml:space="preserve">My research into prosecutorial ethics has been grounded in Brady v. Maryland and the disclosure obligations that flow from it. I understand that the ethical duty of a prosecutor is not to win, but to do justice — and that violations of that duty (suppression of exculpatory evidence, knowing use of false testimony) constitute both ethical violations and constitutional torts. I have researched Pa.R.P.C. Rule 3.8 and its requirement that prosecutors disclose evidence that tends to negate guilt — not merely comply with the minimum legal requirement, but exercise the ethical judgment the role demands.</w:t>
      </w:r>
    </w:p>
    <w:p>
      <w:pPr>
        <w:spacing w:after="120" w:before="80" w:line="276"/>
        <w:jc w:val="left"/>
      </w:pPr>
      <w:r>
        <w:rPr>
          <w:rFonts w:ascii="Arial" w:cs="Arial" w:eastAsia="Arial" w:hAnsi="Arial"/>
          <w:b w:val="false"/>
          <w:bCs w:val="false"/>
          <w:i w:val="false"/>
          <w:iCs w:val="false"/>
          <w:caps w:val="false"/>
          <w:color w:val="333333"/>
          <w:sz w:val="20"/>
          <w:szCs w:val="20"/>
        </w:rPr>
        <w:t xml:space="preserve">On the diversity and social justice dimension, my perspective is both analytical and personal. I have been a subject of the criminal justice system's operations, and I have studied those operations systematically. I understand the documented research on racial and socioeconomic disparities in policing, prosecution, and sentencing. I have applied the equal protection framework to analyze whether specific enforcement decisions were made on constitutionally impermissible grounds. My analysis is not polemical — it is evidence-based and legally grounded.</w:t>
      </w:r>
    </w:p>
    <w:p>
      <w:pPr>
        <w:spacing w:after="120" w:before="0"/>
      </w:pPr>
    </w:p>
    <w:p>
      <w:pPr>
        <w:pStyle w:val="Heading3"/>
        <w:spacing w:after="120" w:before="220"/>
      </w:pPr>
      <w:r>
        <w:rPr>
          <w:rFonts w:ascii="Arial" w:cs="Arial" w:eastAsia="Arial" w:hAnsi="Arial"/>
          <w:b/>
          <w:bCs/>
          <w:i w:val="false"/>
          <w:iCs w:val="false"/>
          <w:caps w:val="false"/>
          <w:color w:val="2E75B6"/>
          <w:sz w:val="22"/>
          <w:szCs w:val="22"/>
        </w:rPr>
        <w:t xml:space="preserve">3.5.3 — Evidence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400"/>
        <w:gridCol w:w="3460"/>
      </w:tblGrid>
      <w:tr>
        <w:trPr>
          <w:tblHeader/>
        </w:trPr>
        <w:tc>
          <w:tcPr>
            <w:tcW w:type="dxa" w:w="29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Document / Record</w:t>
            </w:r>
          </w:p>
        </w:tc>
        <w:tc>
          <w:tcPr>
            <w:tcW w:type="dxa" w:w="16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Type</w:t>
            </w:r>
          </w:p>
        </w:tc>
        <w:tc>
          <w:tcPr>
            <w:tcW w:type="dxa" w:w="14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Date / Period</w:t>
            </w:r>
          </w:p>
        </w:tc>
        <w:tc>
          <w:tcPr>
            <w:tcW w:type="dxa" w:w="34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Course Relevance</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 1983 Complaint — Individual and Municipal Defendant Ethics Analysis</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Court Filing</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2021–Present</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1–5: Constitutional duty framework; police ethics; institutional accountability; misconduct analysis</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Monell Policy/Custom Research — Failure to Train and Deliberate Indifference</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Research Memorandum</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Ongoing</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2, 4: Police institutional ethics; accountability failure; deliberate indifference standard</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Brady Material and Pa.R.P.C. 3.8 Prosecutorial Ethics Research</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Legal Research</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Ongoing</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3: Prosecutorial ethics; disclosure obligations; duty of justice vs. duty to win</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Qualified Immunity Research and Critique</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Research Memorandum</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Ongoing</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4: Officer accountability; liability shields; ethical debate on qualified immunity</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Equal Protection and Disparate Treatment Analysis</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Research Memoranda</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Ongoing</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5: Diversity and justice; discriminatory enforcement; equal protection framework</w:t>
            </w:r>
          </w:p>
        </w:tc>
      </w:tr>
    </w:tbl>
    <w:p>
      <w:pPr>
        <w:spacing w:after="100" w:before="0"/>
      </w:pPr>
    </w:p>
    <w:p>
      <w:pPr>
        <w:pStyle w:val="Heading3"/>
        <w:spacing w:after="120" w:before="220"/>
      </w:pPr>
      <w:r>
        <w:rPr>
          <w:rFonts w:ascii="Arial" w:cs="Arial" w:eastAsia="Arial" w:hAnsi="Arial"/>
          <w:b/>
          <w:bCs/>
          <w:i w:val="false"/>
          <w:iCs w:val="false"/>
          <w:caps w:val="false"/>
          <w:color w:val="2E75B6"/>
          <w:sz w:val="22"/>
          <w:szCs w:val="22"/>
        </w:rPr>
        <w:t xml:space="preserve">3.5.4 — Rubric Self-Assessment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60"/>
        <w:gridCol w:w="1580"/>
        <w:gridCol w:w="1580"/>
        <w:gridCol w:w="1580"/>
        <w:gridCol w:w="1580"/>
        <w:gridCol w:w="1580"/>
      </w:tblGrid>
      <w:tr>
        <w:tc>
          <w:tcPr>
            <w:tcW w:type="dxa" w:w="1460"/>
            <w:tcBorders>
              <w:top w:val="single" w:color="333333" w:sz="4"/>
              <w:left w:val="single" w:color="333333" w:sz="4"/>
              <w:bottom w:val="single" w:color="333333" w:sz="4"/>
              <w:right w:val="single" w:color="333333" w:sz="4"/>
            </w:tcBorders>
            <w:shd w:fill="333333"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Criterion</w:t>
            </w:r>
          </w:p>
        </w:tc>
        <w:tc>
          <w:tcPr>
            <w:tcW w:type="dxa" w:w="1580"/>
            <w:tcBorders>
              <w:top w:val="single" w:color="375623" w:sz="4"/>
              <w:left w:val="single" w:color="375623" w:sz="4"/>
              <w:bottom w:val="single" w:color="375623" w:sz="4"/>
              <w:right w:val="single" w:color="375623" w:sz="4"/>
            </w:tcBorders>
            <w:shd w:fill="E2EFDA"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375623"/>
                <w:sz w:val="16"/>
                <w:szCs w:val="16"/>
              </w:rPr>
              <w:t xml:space="preserve">EXEMPLARY</w:t>
            </w:r>
          </w:p>
        </w:tc>
        <w:tc>
          <w:tcPr>
            <w:tcW w:type="dxa" w:w="1580"/>
            <w:tcBorders>
              <w:top w:val="thick" w:color="1F3864" w:sz="16"/>
              <w:left w:val="thick" w:color="1F3864" w:sz="16"/>
              <w:bottom w:val="thick" w:color="1F3864" w:sz="16"/>
              <w:right w:val="thick" w:color="1F3864" w:sz="16"/>
            </w:tcBorders>
            <w:shd w:fill="DEEAF1" w:val="clear"/>
            <w:tcMar>
              <w:top w:type="dxa" w:w="100"/>
              <w:left w:type="dxa" w:w="80"/>
              <w:bottom w:type="dxa" w:w="100"/>
              <w:right w:type="dxa" w:w="80"/>
            </w:tcMar>
            <w:vAlign w:val="center"/>
          </w:tcPr>
          <w:p>
            <w:pPr>
              <w:jc w:val="center"/>
            </w:pPr>
            <w:r>
              <w:rPr>
                <w:rFonts w:ascii="Arial" w:cs="Arial" w:eastAsia="Arial" w:hAnsi="Arial"/>
                <w:b/>
                <w:bCs/>
                <w:i w:val="false"/>
                <w:iCs w:val="false"/>
                <w:caps w:val="false"/>
                <w:color w:val="1F3864"/>
                <w:sz w:val="16"/>
                <w:szCs w:val="16"/>
              </w:rPr>
              <w:t xml:space="preserve">PROFICIENT  ✓ Claimed</w:t>
            </w:r>
          </w:p>
        </w:tc>
        <w:tc>
          <w:tcPr>
            <w:tcW w:type="dxa" w:w="1580"/>
            <w:tcBorders>
              <w:top w:val="single" w:color="7F6000" w:sz="4"/>
              <w:left w:val="single" w:color="7F6000" w:sz="4"/>
              <w:bottom w:val="single" w:color="7F6000" w:sz="4"/>
              <w:right w:val="single" w:color="7F6000" w:sz="4"/>
            </w:tcBorders>
            <w:shd w:fill="FFF2CC"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F6000"/>
                <w:sz w:val="16"/>
                <w:szCs w:val="16"/>
              </w:rPr>
              <w:t xml:space="preserve">COMPETENT</w:t>
            </w:r>
          </w:p>
        </w:tc>
        <w:tc>
          <w:tcPr>
            <w:tcW w:type="dxa" w:w="1580"/>
            <w:tcBorders>
              <w:top w:val="single" w:color="843C0C" w:sz="4"/>
              <w:left w:val="single" w:color="843C0C" w:sz="4"/>
              <w:bottom w:val="single" w:color="843C0C" w:sz="4"/>
              <w:right w:val="single" w:color="843C0C" w:sz="4"/>
            </w:tcBorders>
            <w:shd w:fill="FCE4D6"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843C0C"/>
                <w:sz w:val="16"/>
                <w:szCs w:val="16"/>
              </w:rPr>
              <w:t xml:space="preserve">DEVELOPING</w:t>
            </w:r>
          </w:p>
        </w:tc>
        <w:tc>
          <w:tcPr>
            <w:tcW w:type="dxa" w:w="1580"/>
            <w:tcBorders>
              <w:top w:val="single" w:color="7B0000" w:sz="4"/>
              <w:left w:val="single" w:color="7B0000" w:sz="4"/>
              <w:bottom w:val="single" w:color="7B0000" w:sz="4"/>
              <w:right w:val="single" w:color="7B0000" w:sz="4"/>
            </w:tcBorders>
            <w:shd w:fill="FFDFD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B0000"/>
                <w:sz w:val="16"/>
                <w:szCs w:val="16"/>
              </w:rPr>
              <w:t xml:space="preserve">INSUFFICIENT</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Level Description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Exceeds all learning outcomes; independent mastery; could serve as a teaching example</w:t>
            </w:r>
          </w:p>
        </w:tc>
        <w:tc>
          <w:tcPr>
            <w:tcW w:type="dxa" w:w="158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all learning outcomes with minimal guidance; demonstrates understanding and application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most learning outcomes; demonstrates adequate understanding with some gaps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some learning outcomes; demonstrates basic awareness but significant gaps remain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Fails to meet most learning outcomes; insufficient evidence of prior learning</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Ethical Theory Application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apply deontological, consequentialist, and virtue ethics frameworks to CJ misconduct analysis in the context of active federal civil rights litigation — not as classroom exercises, but as analytical tools with legal consequences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Police and Institutional Ethics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have researched police ethics codes, MPOETC standards, internal affairs structures, and the Monell framework for institutional accountability in connection with specific police conduct matters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Prosecutorial and Judicial Ethics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have researched Brady disclosure obligations, Pa.R.P.C. 3.8, and the Pennsylvania Code of Judicial Conduct in connection with specific active matters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Justice and Accountability Analysis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My civil rights litigation directly addresses misconduct, accountability failures, qualified immunity, and disparate treatment — I bring analytical depth and firsthand research to all DJ-designated competencies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bl>
    <w:p>
      <w:r>
        <w:br w:type="page"/>
      </w:r>
    </w:p>
    <w:p>
      <w:pPr>
        <w:pStyle w:val="Heading2"/>
        <w:spacing w:after="120" w:before="220"/>
      </w:pPr>
      <w:r>
        <w:rPr>
          <w:rFonts w:ascii="Arial" w:cs="Arial" w:eastAsia="Arial" w:hAnsi="Arial"/>
          <w:b/>
          <w:bCs/>
          <w:i w:val="false"/>
          <w:iCs w:val="false"/>
          <w:caps w:val="false"/>
          <w:color w:val="1F3864"/>
          <w:sz w:val="26"/>
          <w:szCs w:val="26"/>
        </w:rPr>
        <w:t xml:space="preserve">Section 3.6 — PHI 100: Introduction to Philosophy / Ethics</w:t>
      </w:r>
    </w:p>
    <w:p>
      <w:pPr>
        <w:pBdr>
          <w:bottom w:val="single" w:color="2E75B6" w:sz="8" w:space="1"/>
        </w:pBdr>
        <w:spacing w:after="1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560"/>
        <w:gridCol w:w="1000"/>
      </w:tblGrid>
      <w:tr>
        <w:tc>
          <w:tcPr>
            <w:tcW w:type="dxa" w:w="1800"/>
            <w:tcBorders>
              <w:top w:val="single" w:color="1F6B75" w:sz="4"/>
              <w:left w:val="single" w:color="1F6B75" w:sz="4"/>
              <w:bottom w:val="single" w:color="1F6B75" w:sz="4"/>
              <w:right w:val="single" w:color="1F6B75" w:sz="4"/>
            </w:tcBorders>
            <w:shd w:fill="1F6B75"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PHI 100</w:t>
            </w:r>
          </w:p>
        </w:tc>
        <w:tc>
          <w:tcPr>
            <w:tcW w:type="dxa" w:w="65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Introduction to Philosophy and Ethics</w:t>
            </w:r>
          </w:p>
        </w:tc>
        <w:tc>
          <w:tcPr>
            <w:tcW w:type="dxa" w:w="1000"/>
            <w:tcBorders>
              <w:top w:val="single" w:color="2E75B6" w:sz="4"/>
              <w:left w:val="single" w:color="2E75B6" w:sz="4"/>
              <w:bottom w:val="single" w:color="2E75B6" w:sz="4"/>
              <w:right w:val="single" w:color="2E75B6" w:sz="4"/>
            </w:tcBorders>
            <w:shd w:fill="2E75B6"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3 Credits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Catalog Description</w:t>
            </w:r>
          </w:p>
        </w:tc>
        <w:tc>
          <w:tcPr>
            <w:tcW w:type="dxa" w:w="75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Introduction to major philosophical traditions and ethical theories: epistemology, metaphysics, political philosophy, and normative ethics. Application of philosophical reasoning to contemporary moral questions. Global Understanding (GU) designated — cross-cultural philosophical traditions and human rights frameworks.</w:t>
            </w:r>
          </w:p>
        </w:tc>
      </w:tr>
      <w:tr>
        <w:tc>
          <w:tcPr>
            <w:tcW w:type="dxa" w:w="18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FFFFFF"/>
                <w:sz w:val="18"/>
                <w:szCs w:val="18"/>
              </w:rPr>
              <w:t xml:space="preserve">My PLA Basis</w:t>
            </w:r>
          </w:p>
        </w:tc>
        <w:tc>
          <w:tcPr>
            <w:tcW w:type="dxa" w:w="75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My work in constitutional law, civil rights litigation, and legal ethics has required me to engage directly with the philosophical foundations of rights, justice, due process, and human dignity. Constitutional interpretation IS applied philosophy: it requires engagement with social contract theory, natural rights doctrine, Kantian duty ethics, and utilitarian harm frameworks. I have applied these frameworks operationally — not as classroom exercises, but as the analytical infrastructure of active legal proceedings.</w:t>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3.6.1 — Learning Outcomes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200"/>
        <w:gridCol w:w="2800"/>
      </w:tblGrid>
      <w:tr>
        <w:trPr>
          <w:tblHeader/>
        </w:trPr>
        <w:tc>
          <w:tcPr>
            <w:tcW w:type="dxa" w:w="33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Learning Outcome (DCCC Catalog)</w:t>
            </w:r>
          </w:p>
        </w:tc>
        <w:tc>
          <w:tcPr>
            <w:tcW w:type="dxa" w:w="32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My Demonstrated Competency / Experience</w:t>
            </w:r>
          </w:p>
        </w:tc>
        <w:tc>
          <w:tcPr>
            <w:tcW w:type="dxa" w:w="28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Supporting Documentation</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1: </w:t>
            </w:r>
            <w:r>
              <w:rPr>
                <w:rFonts w:ascii="Arial" w:cs="Arial" w:eastAsia="Arial" w:hAnsi="Arial"/>
                <w:b w:val="false"/>
                <w:bCs w:val="false"/>
                <w:i w:val="false"/>
                <w:iCs w:val="false"/>
                <w:caps w:val="false"/>
                <w:color w:val="333333"/>
                <w:sz w:val="18"/>
                <w:szCs w:val="18"/>
              </w:rPr>
              <w:t xml:space="preserve">Identify and apply major ethical theories (deontology, consequentialism, virtue ethics, contractarianism).</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apply these frameworks routinely. The Fourteenth Amendment's due process clause is deontological — it establishes that certain procedures are owed as a matter of right, independent of outcomes. My § 1983 claims invoke the deontological principle that constitutional violations are wrongs in themselves, not merely because of the harm they produce. My § 5337 relocation analysis uses consequentialist reasoning — evaluating the effects of relocation on the children's interests. My AmeriCorps service ethic is grounded in virtue ethics — acting as a good citizen, contributing to community, developing character through service.</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 1983 due process analysis; § 5337 relocation consequence analysis; AmeriCorps service ethic; constitutional duty framework</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2: </w:t>
            </w:r>
            <w:r>
              <w:rPr>
                <w:rFonts w:ascii="Arial" w:cs="Arial" w:eastAsia="Arial" w:hAnsi="Arial"/>
                <w:b w:val="false"/>
                <w:bCs w:val="false"/>
                <w:i w:val="false"/>
                <w:iCs w:val="false"/>
                <w:caps w:val="false"/>
                <w:color w:val="333333"/>
                <w:sz w:val="18"/>
                <w:szCs w:val="18"/>
              </w:rPr>
              <w:t xml:space="preserve">Analyze philosophical arguments for validity and soundness.</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Legal argumentation IS philosophical argument analysis. Evaluating whether a legal argument is valid requires checking whether the conclusion follows from the premises (validity) and whether the premises are supported by evidence and law (soundness). I spend considerable time analyzing opposing arguments in my litigation work — identifying the premises the other side relies on, evaluating whether those premises are supported, and showing where the reasoning fails.</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Legal memoranda analyzing and rebutting opposing arguments; constitutional analysis identifying logical structure of rights claims; motion to dismiss opposition</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3: </w:t>
            </w:r>
            <w:r>
              <w:rPr>
                <w:rFonts w:ascii="Arial" w:cs="Arial" w:eastAsia="Arial" w:hAnsi="Arial"/>
                <w:b w:val="false"/>
                <w:bCs w:val="false"/>
                <w:i w:val="false"/>
                <w:iCs w:val="false"/>
                <w:caps w:val="false"/>
                <w:color w:val="333333"/>
                <w:sz w:val="18"/>
                <w:szCs w:val="18"/>
              </w:rPr>
              <w:t xml:space="preserve">Examine political philosophy including social contract theory and theories of justice.</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The entire framework of constitutional rights rests on social contract theory. Locke's natural rights theory underlies the Declaration of Independence and the constitutional rights structure I invoke in my § 1983 action. I have researched Rawlsian justice analysis in the context of equal protection doctrine and the procedural/substantive due process framework — understanding how 'fairness as justice' informs constitutional interpretation.</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Constitutional analysis grounding rights claims in social contract theory; equal protection analysis drawing on Rawlsian fairness framework; Fourteenth Amendment substantive due process research</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4: </w:t>
            </w:r>
            <w:r>
              <w:rPr>
                <w:rFonts w:ascii="Arial" w:cs="Arial" w:eastAsia="Arial" w:hAnsi="Arial"/>
                <w:b w:val="false"/>
                <w:bCs w:val="false"/>
                <w:i w:val="false"/>
                <w:iCs w:val="false"/>
                <w:caps w:val="false"/>
                <w:color w:val="333333"/>
                <w:sz w:val="18"/>
                <w:szCs w:val="18"/>
              </w:rPr>
              <w:t xml:space="preserve">Identify cross-cultural and global perspectives on ethics and human rights (GU).</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My civil rights work intersects with international human rights frameworks: the Universal Declaration of Human Rights, the Convention on the Rights of the Child (whose principles parallel § 5328 best-interest analysis), and comparative constitutional law frameworks. I understand that the constitutional rights I assert derive from a tradition of natural rights that predates and transcends American law.</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Human rights framework research; Convention on Rights of the Child vs. § 5328 comparison; universal due process principles in comparative constitutional analysis</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5: </w:t>
            </w:r>
            <w:r>
              <w:rPr>
                <w:rFonts w:ascii="Arial" w:cs="Arial" w:eastAsia="Arial" w:hAnsi="Arial"/>
                <w:b w:val="false"/>
                <w:bCs w:val="false"/>
                <w:i w:val="false"/>
                <w:iCs w:val="false"/>
                <w:caps w:val="false"/>
                <w:color w:val="333333"/>
                <w:sz w:val="18"/>
                <w:szCs w:val="18"/>
              </w:rPr>
              <w:t xml:space="preserve">Apply ethical reasoning to contemporary moral questions.</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My entire litigation record is applied ethical reasoning in response to contemporary moral questions: Does the state have authority to relocate children without a court order? Do citizens have a right to accurate information from government agencies? What ethical constraints govern police conduct toward citizens? I have analyzed and argued all of these questions through legal and ethical frameworks simultaneously.</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Relocation ethics analysis; FERPA government accountability ethics; police conduct constitutional and ethical analysis; parental rights philosophical framework</w:t>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3.6.2 — My Competency Narrative</w:t>
      </w:r>
    </w:p>
    <w:p>
      <w:pPr>
        <w:spacing w:after="120" w:before="80" w:line="276"/>
        <w:jc w:val="left"/>
      </w:pPr>
      <w:r>
        <w:rPr>
          <w:rFonts w:ascii="Arial" w:cs="Arial" w:eastAsia="Arial" w:hAnsi="Arial"/>
          <w:b w:val="false"/>
          <w:bCs w:val="false"/>
          <w:i w:val="false"/>
          <w:iCs w:val="false"/>
          <w:caps w:val="false"/>
          <w:color w:val="333333"/>
          <w:sz w:val="20"/>
          <w:szCs w:val="20"/>
        </w:rPr>
        <w:t xml:space="preserve">Constitutional law is philosophy in action. Every constitutional argument I make requires me to engage with the philosophical premises of rights, justice, and governmental authority. When I argue that the Due Process Clause protects my rights as a parent against unilateral government interference, I am invoking a tradition of natural rights philosophy stretching from Locke through the founders through the modern Supreme Court. This is not incidental to my legal work — it is the foundation.</w:t>
      </w:r>
    </w:p>
    <w:p>
      <w:pPr>
        <w:spacing w:after="120" w:before="80" w:line="276"/>
        <w:jc w:val="left"/>
      </w:pPr>
      <w:r>
        <w:rPr>
          <w:rFonts w:ascii="Arial" w:cs="Arial" w:eastAsia="Arial" w:hAnsi="Arial"/>
          <w:b w:val="false"/>
          <w:bCs w:val="false"/>
          <w:i w:val="false"/>
          <w:iCs w:val="false"/>
          <w:caps w:val="false"/>
          <w:color w:val="333333"/>
          <w:sz w:val="20"/>
          <w:szCs w:val="20"/>
        </w:rPr>
        <w:t xml:space="preserve">My engagement with the major ethical theories is practical and sustained. I apply deontological analysis when I argue that a constitutional violation is a rights-violation that demands remedy regardless of consequences — this is the core logic of § 1983. I apply consequentialist analysis when I assess the impact of the relocation on my children under the § 5328 best-interest framework — what outcomes does this decision produce, and for whom? I apply virtue ethics when I evaluate the conduct of institutional actors: did the school district, the police department, or the other party act as a person of good character in their role would act?</w:t>
      </w:r>
    </w:p>
    <w:p>
      <w:pPr>
        <w:spacing w:after="120" w:before="80" w:line="276"/>
        <w:jc w:val="left"/>
      </w:pPr>
      <w:r>
        <w:rPr>
          <w:rFonts w:ascii="Arial" w:cs="Arial" w:eastAsia="Arial" w:hAnsi="Arial"/>
          <w:b w:val="false"/>
          <w:bCs w:val="false"/>
          <w:i w:val="false"/>
          <w:iCs w:val="false"/>
          <w:caps w:val="false"/>
          <w:color w:val="333333"/>
          <w:sz w:val="20"/>
          <w:szCs w:val="20"/>
        </w:rPr>
        <w:t xml:space="preserve">Social contract theory is not an abstraction for me — it is the legal framework within which I operate. The constitutional rights I assert against government actors represent the terms of the social contract: the government is granted authority, and in exchange, citizens are guaranteed certain protections. When those protections are violated, the social contract has been breached. This framework organizes my understanding of all of my civil rights claims.</w:t>
      </w:r>
    </w:p>
    <w:p>
      <w:pPr>
        <w:spacing w:after="120" w:before="80" w:line="276"/>
        <w:jc w:val="left"/>
      </w:pPr>
      <w:r>
        <w:rPr>
          <w:rFonts w:ascii="Arial" w:cs="Arial" w:eastAsia="Arial" w:hAnsi="Arial"/>
          <w:b w:val="false"/>
          <w:bCs w:val="false"/>
          <w:i w:val="false"/>
          <w:iCs w:val="false"/>
          <w:caps w:val="false"/>
          <w:color w:val="333333"/>
          <w:sz w:val="20"/>
          <w:szCs w:val="20"/>
        </w:rPr>
        <w:t xml:space="preserve">The Global Understanding component of PHI 100 is directly addressed by my engagement with international human rights norms. The Convention on the Rights of the Child — ratified by every UN member state except the United States — establishes principles for child welfare in custody and relocation decisions that mirror and inform my reading of § 5328's best-interest framework. Understanding these cross-cultural convergences on children's rights strengthens my legal analysis and demonstrates the kind of comparative ethical reasoning the GU designation requires.</w:t>
      </w:r>
    </w:p>
    <w:p>
      <w:pPr>
        <w:spacing w:after="120" w:before="0"/>
      </w:pPr>
    </w:p>
    <w:p>
      <w:pPr>
        <w:pStyle w:val="Heading3"/>
        <w:spacing w:after="120" w:before="220"/>
      </w:pPr>
      <w:r>
        <w:rPr>
          <w:rFonts w:ascii="Arial" w:cs="Arial" w:eastAsia="Arial" w:hAnsi="Arial"/>
          <w:b/>
          <w:bCs/>
          <w:i w:val="false"/>
          <w:iCs w:val="false"/>
          <w:caps w:val="false"/>
          <w:color w:val="2E75B6"/>
          <w:sz w:val="22"/>
          <w:szCs w:val="22"/>
        </w:rPr>
        <w:t xml:space="preserve">3.6.3 — Evidence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400"/>
        <w:gridCol w:w="3460"/>
      </w:tblGrid>
      <w:tr>
        <w:trPr>
          <w:tblHeader/>
        </w:trPr>
        <w:tc>
          <w:tcPr>
            <w:tcW w:type="dxa" w:w="29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Document / Record</w:t>
            </w:r>
          </w:p>
        </w:tc>
        <w:tc>
          <w:tcPr>
            <w:tcW w:type="dxa" w:w="16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Type</w:t>
            </w:r>
          </w:p>
        </w:tc>
        <w:tc>
          <w:tcPr>
            <w:tcW w:type="dxa" w:w="14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Date / Period</w:t>
            </w:r>
          </w:p>
        </w:tc>
        <w:tc>
          <w:tcPr>
            <w:tcW w:type="dxa" w:w="34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Course Relevance</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 1983 Constitutional Rights Analysis — Due Process Framework</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Legal Research and Filings</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2021–Present</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2, 3: Deontological duty framework; social contract theory; constitutional validity analysis</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 5328 Best-Interest Analysis — Consequentialist Ethical Framework</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Legal Research</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Ongoing</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5: Consequentialist ethical reasoning applied to children's welfare; applied ethics in custody context</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Equal Protection and Rawlsian Justice Analysis</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Research Memoranda</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Ongoing</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3: Political philosophy; justice frameworks; equal protection doctrine grounded in fairness theory</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Human Rights Framework Research — Convention on Rights of the Child</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Comparative Legal Research</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Ongoing</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4: Cross-cultural human rights analysis; GU-designated framework; international child welfare standards</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AmeriCorps NCCC Service Documentation — Two Federal Terms</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Official Service Letters</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2011, 2012–2013</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4: Virtue ethics in community service; GU cross-cultural community engagement; 3,629 service hours</w:t>
            </w:r>
          </w:p>
        </w:tc>
      </w:tr>
    </w:tbl>
    <w:p>
      <w:pPr>
        <w:spacing w:after="100" w:before="0"/>
      </w:pPr>
    </w:p>
    <w:p>
      <w:pPr>
        <w:pStyle w:val="Heading3"/>
        <w:spacing w:after="120" w:before="220"/>
      </w:pPr>
      <w:r>
        <w:rPr>
          <w:rFonts w:ascii="Arial" w:cs="Arial" w:eastAsia="Arial" w:hAnsi="Arial"/>
          <w:b/>
          <w:bCs/>
          <w:i w:val="false"/>
          <w:iCs w:val="false"/>
          <w:caps w:val="false"/>
          <w:color w:val="2E75B6"/>
          <w:sz w:val="22"/>
          <w:szCs w:val="22"/>
        </w:rPr>
        <w:t xml:space="preserve">3.6.4 — Rubric Self-Assessment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60"/>
        <w:gridCol w:w="1580"/>
        <w:gridCol w:w="1580"/>
        <w:gridCol w:w="1580"/>
        <w:gridCol w:w="1580"/>
        <w:gridCol w:w="1580"/>
      </w:tblGrid>
      <w:tr>
        <w:tc>
          <w:tcPr>
            <w:tcW w:type="dxa" w:w="1460"/>
            <w:tcBorders>
              <w:top w:val="single" w:color="333333" w:sz="4"/>
              <w:left w:val="single" w:color="333333" w:sz="4"/>
              <w:bottom w:val="single" w:color="333333" w:sz="4"/>
              <w:right w:val="single" w:color="333333" w:sz="4"/>
            </w:tcBorders>
            <w:shd w:fill="333333"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Criterion</w:t>
            </w:r>
          </w:p>
        </w:tc>
        <w:tc>
          <w:tcPr>
            <w:tcW w:type="dxa" w:w="1580"/>
            <w:tcBorders>
              <w:top w:val="thick" w:color="375623" w:sz="16"/>
              <w:left w:val="thick" w:color="375623" w:sz="16"/>
              <w:bottom w:val="thick" w:color="375623" w:sz="16"/>
              <w:right w:val="thick" w:color="375623" w:sz="16"/>
            </w:tcBorders>
            <w:shd w:fill="E2EFDA" w:val="clear"/>
            <w:tcMar>
              <w:top w:type="dxa" w:w="100"/>
              <w:left w:type="dxa" w:w="80"/>
              <w:bottom w:type="dxa" w:w="100"/>
              <w:right w:type="dxa" w:w="80"/>
            </w:tcMar>
            <w:vAlign w:val="center"/>
          </w:tcPr>
          <w:p>
            <w:pPr>
              <w:jc w:val="center"/>
            </w:pPr>
            <w:r>
              <w:rPr>
                <w:rFonts w:ascii="Arial" w:cs="Arial" w:eastAsia="Arial" w:hAnsi="Arial"/>
                <w:b/>
                <w:bCs/>
                <w:i w:val="false"/>
                <w:iCs w:val="false"/>
                <w:caps w:val="false"/>
                <w:color w:val="375623"/>
                <w:sz w:val="16"/>
                <w:szCs w:val="16"/>
              </w:rPr>
              <w:t xml:space="preserve">EXEMPLARY  ✓ Claimed</w:t>
            </w:r>
          </w:p>
        </w:tc>
        <w:tc>
          <w:tcPr>
            <w:tcW w:type="dxa" w:w="1580"/>
            <w:tcBorders>
              <w:top w:val="single" w:color="1F3864" w:sz="4"/>
              <w:left w:val="single" w:color="1F3864" w:sz="4"/>
              <w:bottom w:val="single" w:color="1F3864" w:sz="4"/>
              <w:right w:val="single" w:color="1F3864" w:sz="4"/>
            </w:tcBorders>
            <w:shd w:fill="DEEAF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1F3864"/>
                <w:sz w:val="16"/>
                <w:szCs w:val="16"/>
              </w:rPr>
              <w:t xml:space="preserve">PROFICIENT</w:t>
            </w:r>
          </w:p>
        </w:tc>
        <w:tc>
          <w:tcPr>
            <w:tcW w:type="dxa" w:w="1580"/>
            <w:tcBorders>
              <w:top w:val="single" w:color="7F6000" w:sz="4"/>
              <w:left w:val="single" w:color="7F6000" w:sz="4"/>
              <w:bottom w:val="single" w:color="7F6000" w:sz="4"/>
              <w:right w:val="single" w:color="7F6000" w:sz="4"/>
            </w:tcBorders>
            <w:shd w:fill="FFF2CC"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F6000"/>
                <w:sz w:val="16"/>
                <w:szCs w:val="16"/>
              </w:rPr>
              <w:t xml:space="preserve">COMPETENT</w:t>
            </w:r>
          </w:p>
        </w:tc>
        <w:tc>
          <w:tcPr>
            <w:tcW w:type="dxa" w:w="1580"/>
            <w:tcBorders>
              <w:top w:val="single" w:color="843C0C" w:sz="4"/>
              <w:left w:val="single" w:color="843C0C" w:sz="4"/>
              <w:bottom w:val="single" w:color="843C0C" w:sz="4"/>
              <w:right w:val="single" w:color="843C0C" w:sz="4"/>
            </w:tcBorders>
            <w:shd w:fill="FCE4D6"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843C0C"/>
                <w:sz w:val="16"/>
                <w:szCs w:val="16"/>
              </w:rPr>
              <w:t xml:space="preserve">DEVELOPING</w:t>
            </w:r>
          </w:p>
        </w:tc>
        <w:tc>
          <w:tcPr>
            <w:tcW w:type="dxa" w:w="1580"/>
            <w:tcBorders>
              <w:top w:val="single" w:color="7B0000" w:sz="4"/>
              <w:left w:val="single" w:color="7B0000" w:sz="4"/>
              <w:bottom w:val="single" w:color="7B0000" w:sz="4"/>
              <w:right w:val="single" w:color="7B0000" w:sz="4"/>
            </w:tcBorders>
            <w:shd w:fill="FFDFD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B0000"/>
                <w:sz w:val="16"/>
                <w:szCs w:val="16"/>
              </w:rPr>
              <w:t xml:space="preserve">INSUFFICIENT</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Level Description</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Exceeds all learning outcomes; independent mastery; could serve as a teaching example</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all learning outcomes with minimal guidance; demonstrates understanding and application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most learning outcomes; demonstrates adequate understanding with some gaps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some learning outcomes; demonstrates basic awareness but significant gaps remain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Fails to meet most learning outcomes; insufficient evidence of prior learning</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Ethical Theory and Application</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apply deontological, consequentialist, and virtue ethics frameworks as the analytical infrastructure of active legal proceedings — not as theoretical exercises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Philosophical Argument Analysis</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Legal argumentation requires exactly the validity-and-soundness analysis PHI 100 develops; I analyze and rebut philosophical arguments daily in litigation contexts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Political Philosophy</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Constitutional rights analysis is grounded in social contract theory and Rawlsian justice — frameworks I have researched and applied in specific legal proceedings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Global Understanding (GU)</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My research into international human rights frameworks and comparative constitutional analysis demonstrates the cross-cultural ethical engagement the GU designation requires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bl>
    <w:p>
      <w:r>
        <w:br w:type="page"/>
      </w:r>
    </w:p>
    <w:p>
      <w:pPr>
        <w:pStyle w:val="Heading2"/>
        <w:spacing w:after="120" w:before="220"/>
      </w:pPr>
      <w:r>
        <w:rPr>
          <w:rFonts w:ascii="Arial" w:cs="Arial" w:eastAsia="Arial" w:hAnsi="Arial"/>
          <w:b/>
          <w:bCs/>
          <w:i w:val="false"/>
          <w:iCs w:val="false"/>
          <w:caps w:val="false"/>
          <w:color w:val="1F3864"/>
          <w:sz w:val="26"/>
          <w:szCs w:val="26"/>
        </w:rPr>
        <w:t xml:space="preserve">Section 3.7 — PSY 100: General Psychology</w:t>
      </w:r>
    </w:p>
    <w:p>
      <w:pPr>
        <w:pBdr>
          <w:bottom w:val="single" w:color="2E75B6" w:sz="8" w:space="1"/>
        </w:pBdr>
        <w:spacing w:after="1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560"/>
        <w:gridCol w:w="1000"/>
      </w:tblGrid>
      <w:tr>
        <w:tc>
          <w:tcPr>
            <w:tcW w:type="dxa" w:w="1800"/>
            <w:tcBorders>
              <w:top w:val="single" w:color="1F6B75" w:sz="4"/>
              <w:left w:val="single" w:color="1F6B75" w:sz="4"/>
              <w:bottom w:val="single" w:color="1F6B75" w:sz="4"/>
              <w:right w:val="single" w:color="1F6B75" w:sz="4"/>
            </w:tcBorders>
            <w:shd w:fill="1F6B75"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PSY 100</w:t>
            </w:r>
          </w:p>
        </w:tc>
        <w:tc>
          <w:tcPr>
            <w:tcW w:type="dxa" w:w="65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General Psychology</w:t>
            </w:r>
          </w:p>
        </w:tc>
        <w:tc>
          <w:tcPr>
            <w:tcW w:type="dxa" w:w="1000"/>
            <w:tcBorders>
              <w:top w:val="single" w:color="2E75B6" w:sz="4"/>
              <w:left w:val="single" w:color="2E75B6" w:sz="4"/>
              <w:bottom w:val="single" w:color="2E75B6" w:sz="4"/>
              <w:right w:val="single" w:color="2E75B6" w:sz="4"/>
            </w:tcBorders>
            <w:shd w:fill="2E75B6"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3 Credits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Catalog Description</w:t>
            </w:r>
          </w:p>
        </w:tc>
        <w:tc>
          <w:tcPr>
            <w:tcW w:type="dxa" w:w="75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Survey of major psychological concepts: biological bases of behavior, sensation and perception, learning and memory, cognition and development, personality, social behavior, psychological disorders, and therapeutic approaches. Behavioral Social Science (BS) designated.</w:t>
            </w:r>
          </w:p>
        </w:tc>
      </w:tr>
      <w:tr>
        <w:tc>
          <w:tcPr>
            <w:tcW w:type="dxa" w:w="18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FFFFFF"/>
                <w:sz w:val="18"/>
                <w:szCs w:val="18"/>
              </w:rPr>
              <w:t xml:space="preserve">My PLA Basis</w:t>
            </w:r>
          </w:p>
        </w:tc>
        <w:tc>
          <w:tcPr>
            <w:tcW w:type="dxa" w:w="75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My custody litigation, IDEA/disability law research, and AmeriCorps direct service have required me to research and apply psychological concepts extensively. The § 5328 best-interest standard explicitly incorporates psychological factors (parental mental health, child psychological adjustment, developmental needs, sibling relationships). My IDEA research required mastery of developmental psychology, learning disabilities, and behavioral intervention frameworks. My AmeriCorps environmental education work involved applied child development and educational psychology.</w:t>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3.7.1 — Learning Outcomes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200"/>
        <w:gridCol w:w="2800"/>
      </w:tblGrid>
      <w:tr>
        <w:trPr>
          <w:tblHeader/>
        </w:trPr>
        <w:tc>
          <w:tcPr>
            <w:tcW w:type="dxa" w:w="33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Learning Outcome (DCCC Catalog)</w:t>
            </w:r>
          </w:p>
        </w:tc>
        <w:tc>
          <w:tcPr>
            <w:tcW w:type="dxa" w:w="32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My Demonstrated Competency / Experience</w:t>
            </w:r>
          </w:p>
        </w:tc>
        <w:tc>
          <w:tcPr>
            <w:tcW w:type="dxa" w:w="28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Supporting Documentation</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1: </w:t>
            </w:r>
            <w:r>
              <w:rPr>
                <w:rFonts w:ascii="Arial" w:cs="Arial" w:eastAsia="Arial" w:hAnsi="Arial"/>
                <w:b w:val="false"/>
                <w:bCs w:val="false"/>
                <w:i w:val="false"/>
                <w:iCs w:val="false"/>
                <w:caps w:val="false"/>
                <w:color w:val="333333"/>
                <w:sz w:val="18"/>
                <w:szCs w:val="18"/>
              </w:rPr>
              <w:t xml:space="preserve">Explain biological, developmental, and environmental factors that influence behavior.</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23 Pa.C.S. § 5328's best-interest factors require analysis of precisely these variables: the mental and physical condition of the parents (biological/developmental), the child's adjustment to home, school, and community (environmental), the developmental stage and needs of the children, and the impact of relocation on psychological well-being. I have researched child development literature, attachment theory, and the psychological research on relocation's impact on children in connection with my custody case.</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 5328 best-interest analysis incorporating developmental psychology; relocation impact research; child attachment theory in custody context</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2: </w:t>
            </w:r>
            <w:r>
              <w:rPr>
                <w:rFonts w:ascii="Arial" w:cs="Arial" w:eastAsia="Arial" w:hAnsi="Arial"/>
                <w:b w:val="false"/>
                <w:bCs w:val="false"/>
                <w:i w:val="false"/>
                <w:iCs w:val="false"/>
                <w:caps w:val="false"/>
                <w:color w:val="333333"/>
                <w:sz w:val="18"/>
                <w:szCs w:val="18"/>
              </w:rPr>
              <w:t xml:space="preserve">Describe major theories of learning, memory, and cognition.</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My IDEA research required me to understand learning theory at a practical level: the legal standard for IDEA eligibility is whether a child's disability adversely affects educational performance — which requires understanding how specific learning disabilities affect cognitive processing, memory, and learning. I researched operant and classical conditioning, cognitive behavioral approaches, and evidence-based instructional interventions in connection with IEP development analysis.</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IDEA eligibility research; learning disability impact analysis; IEP educational methodology research; behavioral intervention research</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3: </w:t>
            </w:r>
            <w:r>
              <w:rPr>
                <w:rFonts w:ascii="Arial" w:cs="Arial" w:eastAsia="Arial" w:hAnsi="Arial"/>
                <w:b w:val="false"/>
                <w:bCs w:val="false"/>
                <w:i w:val="false"/>
                <w:iCs w:val="false"/>
                <w:caps w:val="false"/>
                <w:color w:val="333333"/>
                <w:sz w:val="18"/>
                <w:szCs w:val="18"/>
              </w:rPr>
              <w:t xml:space="preserve">Discuss personality theory and individual differences.</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The § 5328 factor analyzing each parent's 'mental and physical condition' requires me to understand personality assessment frameworks, psychological stability indicators, and research on how parental personality characteristics affect parenting quality. I have researched personality theory in this context, including trait theory, the Big Five framework, and the psychological literature on parenting style and outcomes.</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 5328 parental mental health factor analysis; parenting style research; personality and parenting quality literature review</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4: </w:t>
            </w:r>
            <w:r>
              <w:rPr>
                <w:rFonts w:ascii="Arial" w:cs="Arial" w:eastAsia="Arial" w:hAnsi="Arial"/>
                <w:b w:val="false"/>
                <w:bCs w:val="false"/>
                <w:i w:val="false"/>
                <w:iCs w:val="false"/>
                <w:caps w:val="false"/>
                <w:color w:val="333333"/>
                <w:sz w:val="18"/>
                <w:szCs w:val="18"/>
              </w:rPr>
              <w:t xml:space="preserve">Analyze social psychology: group behavior, conformity, attribution, and interpersonal dynamics.</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My § 1983 civil rights work includes institutional behavior analysis that draws on social psychology: social identity theory, authority and obedience research (Milgram), conformity in institutional settings, and attribution error in policing. The Monell 'policy or custom' doctrine requires demonstrating that institutional behavior — not just individual deviance — produced the constitutional violation. This is organizational social psychology applied to law.</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Monell institutional behavior analysis; authority and compliance research in police context; social identity theory in group conduct analysis</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5: </w:t>
            </w:r>
            <w:r>
              <w:rPr>
                <w:rFonts w:ascii="Arial" w:cs="Arial" w:eastAsia="Arial" w:hAnsi="Arial"/>
                <w:b w:val="false"/>
                <w:bCs w:val="false"/>
                <w:i w:val="false"/>
                <w:iCs w:val="false"/>
                <w:caps w:val="false"/>
                <w:color w:val="333333"/>
                <w:sz w:val="18"/>
                <w:szCs w:val="18"/>
              </w:rPr>
              <w:t xml:space="preserve">Identify major psychological disorders and therapeutic approaches.</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IDEA law requires familiarity with psychological disorder classifications (DSM-5 categories as they relate to disability eligibility), evaluation procedures, and evidence-based intervention approaches. I have researched ADHD, specific learning disabilities, autism spectrum disorder, and anxiety disorders as they relate to IDEA eligibility and appropriate educational programming. This is applied clinical psychology in a legal framework.</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IDEA disability category research; DSM-5 criteria for IDEA-eligible conditions; IEP intervention research; psychological evaluation methodology</w:t>
            </w:r>
          </w:p>
        </w:tc>
      </w:tr>
    </w:tbl>
    <w:p>
      <w:pPr>
        <w:spacing w:after="120" w:before="0"/>
      </w:pPr>
    </w:p>
    <w:p>
      <w:pPr>
        <w:pStyle w:val="Heading3"/>
        <w:spacing w:after="120" w:before="220"/>
      </w:pPr>
      <w:r>
        <w:rPr>
          <w:rFonts w:ascii="Arial" w:cs="Arial" w:eastAsia="Arial" w:hAnsi="Arial"/>
          <w:b/>
          <w:bCs/>
          <w:i w:val="false"/>
          <w:iCs w:val="false"/>
          <w:caps w:val="false"/>
          <w:color w:val="2E75B6"/>
          <w:sz w:val="22"/>
          <w:szCs w:val="22"/>
        </w:rPr>
        <w:t xml:space="preserve">3.7.2 — My Competency Narrative</w:t>
      </w:r>
    </w:p>
    <w:p>
      <w:pPr>
        <w:spacing w:after="120" w:before="80" w:line="276"/>
        <w:jc w:val="left"/>
      </w:pPr>
      <w:r>
        <w:rPr>
          <w:rFonts w:ascii="Arial" w:cs="Arial" w:eastAsia="Arial" w:hAnsi="Arial"/>
          <w:b w:val="false"/>
          <w:bCs w:val="false"/>
          <w:i w:val="false"/>
          <w:iCs w:val="false"/>
          <w:caps w:val="false"/>
          <w:color w:val="333333"/>
          <w:sz w:val="20"/>
          <w:szCs w:val="20"/>
        </w:rPr>
        <w:t xml:space="preserve">Psychology is not a peripheral subject in my legal work — it is central to two of my most active practice areas. In custody law, the § 5328 best-interest framework is fundamentally a psychological framework: it asks how parental conduct, relocation, and family disruption affect the psychological well-being and developmental trajectory of children. Answering that question requires knowledge of developmental psychology, attachment theory, the research on relocation's impact on children, and the psychological factors that distinguish healthy from harmful custody arrangements.</w:t>
      </w:r>
    </w:p>
    <w:p>
      <w:pPr>
        <w:spacing w:after="120" w:before="80" w:line="276"/>
        <w:jc w:val="left"/>
      </w:pPr>
      <w:r>
        <w:rPr>
          <w:rFonts w:ascii="Arial" w:cs="Arial" w:eastAsia="Arial" w:hAnsi="Arial"/>
          <w:b w:val="false"/>
          <w:bCs w:val="false"/>
          <w:i w:val="false"/>
          <w:iCs w:val="false"/>
          <w:caps w:val="false"/>
          <w:color w:val="333333"/>
          <w:sz w:val="20"/>
          <w:szCs w:val="20"/>
        </w:rPr>
        <w:t xml:space="preserve">In education law, the IDEA framework is built on psychological and developmental foundations. The determination of whether a child has a disability that adversely affects educational performance requires applying psychological evaluation procedures, understanding the cognitive and learning profiles associated with specific disabilities, and analyzing whether proposed interventions are evidence-based and appropriate to the child's psychological needs. I have researched these questions in connection with specific matters involving my children's educational rights, and I have had to understand the psychological literature to evaluate whether the school district's actions and proposals were legally and clinically appropriate.</w:t>
      </w:r>
    </w:p>
    <w:p>
      <w:pPr>
        <w:spacing w:after="120" w:before="80" w:line="276"/>
        <w:jc w:val="left"/>
      </w:pPr>
      <w:r>
        <w:rPr>
          <w:rFonts w:ascii="Arial" w:cs="Arial" w:eastAsia="Arial" w:hAnsi="Arial"/>
          <w:b w:val="false"/>
          <w:bCs w:val="false"/>
          <w:i w:val="false"/>
          <w:iCs w:val="false"/>
          <w:caps w:val="false"/>
          <w:color w:val="333333"/>
          <w:sz w:val="20"/>
          <w:szCs w:val="20"/>
        </w:rPr>
        <w:t xml:space="preserve">My two full terms of AmeriCorps NCCC service — 3,629 total hours — gave me direct, sustained exposure to child development and educational psychology in practice. During my Pacific Region service at Sly Park Environmental Education Center (documented in the Mountain Democrat, February 2, 2013), I served as a teacher's assistant and cabin leader for school-age children, observing and applying principles of child development, behavioral management, and motivational psychology in real educational settings. Working with children from diverse backgrounds and varying developmental stages requires the practical application of developmental psychology knowledge.</w:t>
      </w:r>
    </w:p>
    <w:p>
      <w:pPr>
        <w:spacing w:after="120" w:before="80" w:line="276"/>
        <w:jc w:val="left"/>
      </w:pPr>
      <w:r>
        <w:rPr>
          <w:rFonts w:ascii="Arial" w:cs="Arial" w:eastAsia="Arial" w:hAnsi="Arial"/>
          <w:b w:val="false"/>
          <w:bCs w:val="false"/>
          <w:i w:val="false"/>
          <w:iCs w:val="false"/>
          <w:caps w:val="false"/>
          <w:color w:val="333333"/>
          <w:sz w:val="20"/>
          <w:szCs w:val="20"/>
        </w:rPr>
        <w:t xml:space="preserve">I also bring social psychology knowledge from an unexpected direction: understanding institutional behavior and group dynamics is essential to my § 1983 civil rights analysis. The Monell doctrine asks how institutional norms, supervisory practices, and organizational culture produce — or fail to prevent — individual officer conduct that violates constitutional rights. This is organizational and social psychology applied to a constitutional law framework.</w:t>
      </w:r>
    </w:p>
    <w:p>
      <w:pPr>
        <w:spacing w:after="120" w:before="0"/>
      </w:pPr>
    </w:p>
    <w:p>
      <w:pPr>
        <w:pStyle w:val="Heading3"/>
        <w:spacing w:after="120" w:before="220"/>
      </w:pPr>
      <w:r>
        <w:rPr>
          <w:rFonts w:ascii="Arial" w:cs="Arial" w:eastAsia="Arial" w:hAnsi="Arial"/>
          <w:b/>
          <w:bCs/>
          <w:i w:val="false"/>
          <w:iCs w:val="false"/>
          <w:caps w:val="false"/>
          <w:color w:val="2E75B6"/>
          <w:sz w:val="22"/>
          <w:szCs w:val="22"/>
        </w:rPr>
        <w:t xml:space="preserve">3.7.3 — Evidence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400"/>
        <w:gridCol w:w="3460"/>
      </w:tblGrid>
      <w:tr>
        <w:trPr>
          <w:tblHeader/>
        </w:trPr>
        <w:tc>
          <w:tcPr>
            <w:tcW w:type="dxa" w:w="29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Document / Record</w:t>
            </w:r>
          </w:p>
        </w:tc>
        <w:tc>
          <w:tcPr>
            <w:tcW w:type="dxa" w:w="16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Type</w:t>
            </w:r>
          </w:p>
        </w:tc>
        <w:tc>
          <w:tcPr>
            <w:tcW w:type="dxa" w:w="14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Date / Period</w:t>
            </w:r>
          </w:p>
        </w:tc>
        <w:tc>
          <w:tcPr>
            <w:tcW w:type="dxa" w:w="34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Course Relevance</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 5328 Best-Interest Factor Analysis — Psychological Framework</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Legal Research</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Ongoing</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3: Developmental psychology; child welfare; parental mental health; relocation impact research</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IDEA Eligibility and IEP Research — Disability and Learning</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Legal Research and Correspondence</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2021–Present</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2, 5: Learning disabilities; DSM-5 classifications; cognitive processing; evidence-based intervention</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AmeriCorps Pacific Region — Sly Park Environmental Education Center</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Federal Service Letter + Newspaper Documentation</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10/10/2012–07/23/2013 (Mountain Democrat, Feb. 2, 2013)</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2: Child development in practice; teacher's assistant role; direct work with school-age children — 1,883 service hours, Pacific Region, Sacramento CA</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AmeriCorps Atlantic Region — Baltimore MD Community Service</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Official Federal Service Letter</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02/07/2011–11/17/2011</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4: Social behavior; community development; direct service with diverse populations — 1,746 service hours</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Monell Institutional Behavior Analysis</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Research Memoranda</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Ongoing</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4: Social psychology; group behavior; authority and compliance; organizational culture</w:t>
            </w:r>
          </w:p>
        </w:tc>
      </w:tr>
    </w:tbl>
    <w:p>
      <w:pPr>
        <w:spacing w:after="100" w:before="0"/>
      </w:pPr>
    </w:p>
    <w:p>
      <w:pPr>
        <w:pStyle w:val="Heading3"/>
        <w:spacing w:after="120" w:before="220"/>
      </w:pPr>
      <w:r>
        <w:rPr>
          <w:rFonts w:ascii="Arial" w:cs="Arial" w:eastAsia="Arial" w:hAnsi="Arial"/>
          <w:b/>
          <w:bCs/>
          <w:i w:val="false"/>
          <w:iCs w:val="false"/>
          <w:caps w:val="false"/>
          <w:color w:val="2E75B6"/>
          <w:sz w:val="22"/>
          <w:szCs w:val="22"/>
        </w:rPr>
        <w:t xml:space="preserve">3.7.4 — Rubric Self-Assessment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60"/>
        <w:gridCol w:w="1580"/>
        <w:gridCol w:w="1580"/>
        <w:gridCol w:w="1580"/>
        <w:gridCol w:w="1580"/>
        <w:gridCol w:w="1580"/>
      </w:tblGrid>
      <w:tr>
        <w:tc>
          <w:tcPr>
            <w:tcW w:type="dxa" w:w="1460"/>
            <w:tcBorders>
              <w:top w:val="single" w:color="333333" w:sz="4"/>
              <w:left w:val="single" w:color="333333" w:sz="4"/>
              <w:bottom w:val="single" w:color="333333" w:sz="4"/>
              <w:right w:val="single" w:color="333333" w:sz="4"/>
            </w:tcBorders>
            <w:shd w:fill="333333"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Criterion</w:t>
            </w:r>
          </w:p>
        </w:tc>
        <w:tc>
          <w:tcPr>
            <w:tcW w:type="dxa" w:w="1580"/>
            <w:tcBorders>
              <w:top w:val="single" w:color="375623" w:sz="4"/>
              <w:left w:val="single" w:color="375623" w:sz="4"/>
              <w:bottom w:val="single" w:color="375623" w:sz="4"/>
              <w:right w:val="single" w:color="375623" w:sz="4"/>
            </w:tcBorders>
            <w:shd w:fill="E2EFDA"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375623"/>
                <w:sz w:val="16"/>
                <w:szCs w:val="16"/>
              </w:rPr>
              <w:t xml:space="preserve">EXEMPLARY</w:t>
            </w:r>
          </w:p>
        </w:tc>
        <w:tc>
          <w:tcPr>
            <w:tcW w:type="dxa" w:w="1580"/>
            <w:tcBorders>
              <w:top w:val="thick" w:color="1F3864" w:sz="16"/>
              <w:left w:val="thick" w:color="1F3864" w:sz="16"/>
              <w:bottom w:val="thick" w:color="1F3864" w:sz="16"/>
              <w:right w:val="thick" w:color="1F3864" w:sz="16"/>
            </w:tcBorders>
            <w:shd w:fill="DEEAF1" w:val="clear"/>
            <w:tcMar>
              <w:top w:type="dxa" w:w="100"/>
              <w:left w:type="dxa" w:w="80"/>
              <w:bottom w:type="dxa" w:w="100"/>
              <w:right w:type="dxa" w:w="80"/>
            </w:tcMar>
            <w:vAlign w:val="center"/>
          </w:tcPr>
          <w:p>
            <w:pPr>
              <w:jc w:val="center"/>
            </w:pPr>
            <w:r>
              <w:rPr>
                <w:rFonts w:ascii="Arial" w:cs="Arial" w:eastAsia="Arial" w:hAnsi="Arial"/>
                <w:b/>
                <w:bCs/>
                <w:i w:val="false"/>
                <w:iCs w:val="false"/>
                <w:caps w:val="false"/>
                <w:color w:val="1F3864"/>
                <w:sz w:val="16"/>
                <w:szCs w:val="16"/>
              </w:rPr>
              <w:t xml:space="preserve">PROFICIENT  ✓ Claimed</w:t>
            </w:r>
          </w:p>
        </w:tc>
        <w:tc>
          <w:tcPr>
            <w:tcW w:type="dxa" w:w="1580"/>
            <w:tcBorders>
              <w:top w:val="single" w:color="7F6000" w:sz="4"/>
              <w:left w:val="single" w:color="7F6000" w:sz="4"/>
              <w:bottom w:val="single" w:color="7F6000" w:sz="4"/>
              <w:right w:val="single" w:color="7F6000" w:sz="4"/>
            </w:tcBorders>
            <w:shd w:fill="FFF2CC"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F6000"/>
                <w:sz w:val="16"/>
                <w:szCs w:val="16"/>
              </w:rPr>
              <w:t xml:space="preserve">COMPETENT</w:t>
            </w:r>
          </w:p>
        </w:tc>
        <w:tc>
          <w:tcPr>
            <w:tcW w:type="dxa" w:w="1580"/>
            <w:tcBorders>
              <w:top w:val="single" w:color="843C0C" w:sz="4"/>
              <w:left w:val="single" w:color="843C0C" w:sz="4"/>
              <w:bottom w:val="single" w:color="843C0C" w:sz="4"/>
              <w:right w:val="single" w:color="843C0C" w:sz="4"/>
            </w:tcBorders>
            <w:shd w:fill="FCE4D6"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843C0C"/>
                <w:sz w:val="16"/>
                <w:szCs w:val="16"/>
              </w:rPr>
              <w:t xml:space="preserve">DEVELOPING</w:t>
            </w:r>
          </w:p>
        </w:tc>
        <w:tc>
          <w:tcPr>
            <w:tcW w:type="dxa" w:w="1580"/>
            <w:tcBorders>
              <w:top w:val="single" w:color="7B0000" w:sz="4"/>
              <w:left w:val="single" w:color="7B0000" w:sz="4"/>
              <w:bottom w:val="single" w:color="7B0000" w:sz="4"/>
              <w:right w:val="single" w:color="7B0000" w:sz="4"/>
            </w:tcBorders>
            <w:shd w:fill="FFDFD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B0000"/>
                <w:sz w:val="16"/>
                <w:szCs w:val="16"/>
              </w:rPr>
              <w:t xml:space="preserve">INSUFFICIENT</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Level Description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Exceeds all learning outcomes; independent mastery; could serve as a teaching example</w:t>
            </w:r>
          </w:p>
        </w:tc>
        <w:tc>
          <w:tcPr>
            <w:tcW w:type="dxa" w:w="158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all learning outcomes with minimal guidance; demonstrates understanding and application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most learning outcomes; demonstrates adequate understanding with some gaps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some learning outcomes; demonstrates basic awareness but significant gaps remain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Fails to meet most learning outcomes; insufficient evidence of prior learning</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Development and Biology</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My § 5328 and IDEA research required and demonstrates working knowledge of developmental psychology, child developmental stages, and the biological and environmental factors that affect child well-being</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Learning, Memory, and Cognition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IDEA eligibility analysis requires understanding learning disability frameworks, cognitive processing differences, and evidence-based intervention approaches — applied clinical psychology in a legal context</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Personality and Individual Differences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Parental mental health factor analysis under § 5328 required research into personality theory, parenting style research, and psychological stability assessment frameworks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Social Psychology</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Monell institutional behavior analysis and AmeriCorps direct community service demonstrate applied social psychology knowledge including group dynamics, authority, and organizational behavior</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bl>
    <w:p>
      <w:r>
        <w:br w:type="page"/>
      </w:r>
    </w:p>
    <w:p>
      <w:pPr>
        <w:pStyle w:val="Heading2"/>
        <w:spacing w:after="120" w:before="220"/>
      </w:pPr>
      <w:r>
        <w:rPr>
          <w:rFonts w:ascii="Arial" w:cs="Arial" w:eastAsia="Arial" w:hAnsi="Arial"/>
          <w:b/>
          <w:bCs/>
          <w:i w:val="false"/>
          <w:iCs w:val="false"/>
          <w:caps w:val="false"/>
          <w:color w:val="1F3864"/>
          <w:sz w:val="26"/>
          <w:szCs w:val="26"/>
        </w:rPr>
        <w:t xml:space="preserve">Section 3.8 — SOC 101: Introduction to Sociology</w:t>
      </w:r>
    </w:p>
    <w:p>
      <w:pPr>
        <w:pBdr>
          <w:bottom w:val="single" w:color="2E75B6" w:sz="8" w:space="1"/>
        </w:pBdr>
        <w:spacing w:after="1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560"/>
        <w:gridCol w:w="1000"/>
      </w:tblGrid>
      <w:tr>
        <w:tc>
          <w:tcPr>
            <w:tcW w:type="dxa" w:w="1800"/>
            <w:tcBorders>
              <w:top w:val="single" w:color="1F6B75" w:sz="4"/>
              <w:left w:val="single" w:color="1F6B75" w:sz="4"/>
              <w:bottom w:val="single" w:color="1F6B75" w:sz="4"/>
              <w:right w:val="single" w:color="1F6B75" w:sz="4"/>
            </w:tcBorders>
            <w:shd w:fill="1F6B75"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SOC 101</w:t>
            </w:r>
          </w:p>
        </w:tc>
        <w:tc>
          <w:tcPr>
            <w:tcW w:type="dxa" w:w="65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Introduction to Sociology</w:t>
            </w:r>
          </w:p>
        </w:tc>
        <w:tc>
          <w:tcPr>
            <w:tcW w:type="dxa" w:w="1000"/>
            <w:tcBorders>
              <w:top w:val="single" w:color="2E75B6" w:sz="4"/>
              <w:left w:val="single" w:color="2E75B6" w:sz="4"/>
              <w:bottom w:val="single" w:color="2E75B6" w:sz="4"/>
              <w:right w:val="single" w:color="2E75B6" w:sz="4"/>
            </w:tcBorders>
            <w:shd w:fill="2E75B6"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3 Credits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Catalog Description</w:t>
            </w:r>
          </w:p>
        </w:tc>
        <w:tc>
          <w:tcPr>
            <w:tcW w:type="dxa" w:w="75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Introduction to sociological perspectives and methods: social structure and institutions, culture, socialization, stratification, race and ethnicity, gender, deviance, and social change. Emphasis on the sociological imagination — connecting individual experience to social structures. Behavioral Social Science (BS) designated.</w:t>
            </w:r>
          </w:p>
        </w:tc>
      </w:tr>
      <w:tr>
        <w:tc>
          <w:tcPr>
            <w:tcW w:type="dxa" w:w="18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FFFFFF"/>
                <w:sz w:val="18"/>
                <w:szCs w:val="18"/>
              </w:rPr>
              <w:t xml:space="preserve">My PLA Basis</w:t>
            </w:r>
          </w:p>
        </w:tc>
        <w:tc>
          <w:tcPr>
            <w:tcW w:type="dxa" w:w="75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My two full terms of AmeriCorps NCCC service (3,629 hours) placed me in diverse communities addressing poverty, environmental access, and educational inequity — the lived application of sociological concepts including stratification, community development, and institutional analysis. My § 1983 civil rights work requires applied sociological analysis: Monell liability theory is a theory of institutional causation; equal protection doctrine addresses stratification and systemic inequality. I apply C. Wright Mills' 'sociological imagination' — connecting personal troubles to public issues — as the framework of my civil rights practice.</w:t>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3.8.1 — Learning Outcomes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200"/>
        <w:gridCol w:w="2800"/>
      </w:tblGrid>
      <w:tr>
        <w:trPr>
          <w:tblHeader/>
        </w:trPr>
        <w:tc>
          <w:tcPr>
            <w:tcW w:type="dxa" w:w="33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Learning Outcome (DCCC Catalog)</w:t>
            </w:r>
          </w:p>
        </w:tc>
        <w:tc>
          <w:tcPr>
            <w:tcW w:type="dxa" w:w="32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My Demonstrated Competency / Experience</w:t>
            </w:r>
          </w:p>
        </w:tc>
        <w:tc>
          <w:tcPr>
            <w:tcW w:type="dxa" w:w="28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Supporting Documentation</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1: </w:t>
            </w:r>
            <w:r>
              <w:rPr>
                <w:rFonts w:ascii="Arial" w:cs="Arial" w:eastAsia="Arial" w:hAnsi="Arial"/>
                <w:b w:val="false"/>
                <w:bCs w:val="false"/>
                <w:i w:val="false"/>
                <w:iCs w:val="false"/>
                <w:caps w:val="false"/>
                <w:color w:val="333333"/>
                <w:sz w:val="18"/>
                <w:szCs w:val="18"/>
              </w:rPr>
              <w:t xml:space="preserve">Apply major sociological perspectives: structural-functionalism, conflict theory, and symbolic interactionism.</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use all three frameworks in legal contexts. Conflict theory organizes my § 1983 analysis: the state, police, and institutions have power that is deployed in ways that reproduce inequality and harm vulnerable individuals. Structural-functionalism informs my understanding of how institutional actors justify unconstitutional conduct as serving systemic functions. Symbolic interactionism informs my analysis of how labels, stigma, and institutional categorization affect individuals in the CJ and education systems.</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 1983 conflict theory framework; Monell institutional power analysis; IDEA stigma/labeling research; educational equity analysis</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2: </w:t>
            </w:r>
            <w:r>
              <w:rPr>
                <w:rFonts w:ascii="Arial" w:cs="Arial" w:eastAsia="Arial" w:hAnsi="Arial"/>
                <w:b w:val="false"/>
                <w:bCs w:val="false"/>
                <w:i w:val="false"/>
                <w:iCs w:val="false"/>
                <w:caps w:val="false"/>
                <w:color w:val="333333"/>
                <w:sz w:val="18"/>
                <w:szCs w:val="18"/>
              </w:rPr>
              <w:t xml:space="preserve">Describe how social structures and institutions shape individual experience.</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My entire civil rights and education law practice is an analysis of how social structures shape — and harm — individual lives. The school district's decisions, the police department's practices, and the court system's procedures are all social structures that have profoundly shaped my children's and my own experience. The sociological imagination is not a theoretical concept for me — it is the analytical framework I apply to understand what has happened and why.</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 1983 structural analysis; IDEA institutional analysis; RTKL institutional accountability research; custody litigation as institutional structure navigation</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3: </w:t>
            </w:r>
            <w:r>
              <w:rPr>
                <w:rFonts w:ascii="Arial" w:cs="Arial" w:eastAsia="Arial" w:hAnsi="Arial"/>
                <w:b w:val="false"/>
                <w:bCs w:val="false"/>
                <w:i w:val="false"/>
                <w:iCs w:val="false"/>
                <w:caps w:val="false"/>
                <w:color w:val="333333"/>
                <w:sz w:val="18"/>
                <w:szCs w:val="18"/>
              </w:rPr>
              <w:t xml:space="preserve">Analyze social stratification, inequality, and the role of race, class, and gender.</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My civil rights work directly addresses stratification and inequality: unequal treatment by law enforcement, disparate educational resource allocation, and the systemic barriers faced by individuals without legal representation (access to justice as a stratification issue). My AmeriCorps service addressed economic and environmental stratification — working in communities without adequate educational facilities, environmental access, or economic resources.</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 1983 equal protection analysis; AmeriCorps service documentation (1,746 hrs Atlantic + 1,883 hrs Pacific = 3,629 total); community development work with underserved populations</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4: </w:t>
            </w:r>
            <w:r>
              <w:rPr>
                <w:rFonts w:ascii="Arial" w:cs="Arial" w:eastAsia="Arial" w:hAnsi="Arial"/>
                <w:b w:val="false"/>
                <w:bCs w:val="false"/>
                <w:i w:val="false"/>
                <w:iCs w:val="false"/>
                <w:caps w:val="false"/>
                <w:color w:val="333333"/>
                <w:sz w:val="18"/>
                <w:szCs w:val="18"/>
              </w:rPr>
              <w:t xml:space="preserve">Apply sociological methods and research skills.</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applied sociological research methods in legal contexts: analyzing government data and records, conducting systematic review of institutional policies and practices, and using documentary analysis to establish patterns of institutional behavior. RTKL requests are, in essence, sociological data collection: obtaining the documentary evidence needed to analyze institutional behavior.</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RTKL systematic data requests; government records analysis; institutional pattern research; documentary analysis of school district and police practices</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5: </w:t>
            </w:r>
            <w:r>
              <w:rPr>
                <w:rFonts w:ascii="Arial" w:cs="Arial" w:eastAsia="Arial" w:hAnsi="Arial"/>
                <w:b w:val="false"/>
                <w:bCs w:val="false"/>
                <w:i w:val="false"/>
                <w:iCs w:val="false"/>
                <w:caps w:val="false"/>
                <w:color w:val="333333"/>
                <w:sz w:val="18"/>
                <w:szCs w:val="18"/>
              </w:rPr>
              <w:t xml:space="preserve">Connect personal experience to broader social structures (sociological imagination).</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 Wright Mills' core concept — that personal troubles must be understood as public issues produced by social structures — is the organizing framework of my civil rights work. My personal experience with government overreach, educational rights violations, and parental rights deprivation is not merely personal — it reflects systemic institutional failures that affect many others. My § 1983 complaint operationalizes the sociological imagination by connecting my specific factual experience to structural theories of constitutional liability.</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 1983 complaint framing personal harm as structural violation; Monell 'policy or custom' argument connecting individual incident to institutional pattern; civil rights analysis as sociological imagination</w:t>
            </w:r>
          </w:p>
        </w:tc>
      </w:tr>
    </w:tbl>
    <w:p>
      <w:pPr>
        <w:spacing w:after="120" w:before="0"/>
      </w:pPr>
    </w:p>
    <w:p>
      <w:pPr>
        <w:pStyle w:val="Heading3"/>
        <w:spacing w:after="120" w:before="220"/>
      </w:pPr>
      <w:r>
        <w:rPr>
          <w:rFonts w:ascii="Arial" w:cs="Arial" w:eastAsia="Arial" w:hAnsi="Arial"/>
          <w:b/>
          <w:bCs/>
          <w:i w:val="false"/>
          <w:iCs w:val="false"/>
          <w:caps w:val="false"/>
          <w:color w:val="2E75B6"/>
          <w:sz w:val="22"/>
          <w:szCs w:val="22"/>
        </w:rPr>
        <w:t xml:space="preserve">3.8.2 — My Competency Narrative</w:t>
      </w:r>
    </w:p>
    <w:p>
      <w:pPr>
        <w:spacing w:after="120" w:before="80" w:line="276"/>
        <w:jc w:val="left"/>
      </w:pPr>
      <w:r>
        <w:rPr>
          <w:rFonts w:ascii="Arial" w:cs="Arial" w:eastAsia="Arial" w:hAnsi="Arial"/>
          <w:b w:val="false"/>
          <w:bCs w:val="false"/>
          <w:i w:val="false"/>
          <w:iCs w:val="false"/>
          <w:caps w:val="false"/>
          <w:color w:val="333333"/>
          <w:sz w:val="20"/>
          <w:szCs w:val="20"/>
        </w:rPr>
        <w:t xml:space="preserve">Sociology gave me the language for what I have been doing for the past decade. The sociological imagination — C. Wright Mills' insight that individual troubles are produced by public issues and social structures — is the exact conceptual framework that underlies my § 1983 civil rights practice. When I argue Monell liability, I am arguing that a specific unconstitutional incident is the product of an institutional policy or custom: a structural condition that produced an individual harm. This is applied sociological analysis.</w:t>
      </w:r>
    </w:p>
    <w:p>
      <w:pPr>
        <w:spacing w:after="120" w:before="80" w:line="276"/>
        <w:jc w:val="left"/>
      </w:pPr>
      <w:r>
        <w:rPr>
          <w:rFonts w:ascii="Arial" w:cs="Arial" w:eastAsia="Arial" w:hAnsi="Arial"/>
          <w:b w:val="false"/>
          <w:bCs w:val="false"/>
          <w:i w:val="false"/>
          <w:iCs w:val="false"/>
          <w:caps w:val="false"/>
          <w:color w:val="333333"/>
          <w:sz w:val="20"/>
          <w:szCs w:val="20"/>
        </w:rPr>
        <w:t xml:space="preserve">My two AmeriCorps NCCC terms were foundational sociological experiences. In my Atlantic Region service (Baltimore, MD, 02/07/2011–11/17/2011, 1,746 hours), I worked in communities facing poverty, educational inequity, and limited access to resources — the material consequences of social stratification. In my Pacific Region service (Sacramento, CA, 10/10/2012–07/23/2013, 1,883 hours), I worked at the Sly Park Environmental Education Center and other sites, bringing environmental education and outdoor experiences to schoolchildren who would otherwise not have access to them. The Mountain Democrat's coverage of the Sly Park project (February 2, 2013, naming me specifically) documents this community development work.</w:t>
      </w:r>
    </w:p>
    <w:p>
      <w:pPr>
        <w:spacing w:after="120" w:before="80" w:line="276"/>
        <w:jc w:val="left"/>
      </w:pPr>
      <w:r>
        <w:rPr>
          <w:rFonts w:ascii="Arial" w:cs="Arial" w:eastAsia="Arial" w:hAnsi="Arial"/>
          <w:b w:val="false"/>
          <w:bCs w:val="false"/>
          <w:i w:val="false"/>
          <w:iCs w:val="false"/>
          <w:caps w:val="false"/>
          <w:color w:val="333333"/>
          <w:sz w:val="20"/>
          <w:szCs w:val="20"/>
        </w:rPr>
        <w:t xml:space="preserve">Access to environmental education, quality schooling, and legal representation are all distributed along stratification lines. My AmeriCorps service addressed educational and environmental access inequality directly. My legal work addresses inequality in the administration of justice and the protection of constitutional rights. These are two sides of the same sociological analysis: understanding how power, resources, and institutional practices distribute life chances unequally.</w:t>
      </w:r>
    </w:p>
    <w:p>
      <w:pPr>
        <w:spacing w:after="120" w:before="80" w:line="276"/>
        <w:jc w:val="left"/>
      </w:pPr>
      <w:r>
        <w:rPr>
          <w:rFonts w:ascii="Arial" w:cs="Arial" w:eastAsia="Arial" w:hAnsi="Arial"/>
          <w:b w:val="false"/>
          <w:bCs w:val="false"/>
          <w:i w:val="false"/>
          <w:iCs w:val="false"/>
          <w:caps w:val="false"/>
          <w:color w:val="333333"/>
          <w:sz w:val="20"/>
          <w:szCs w:val="20"/>
        </w:rPr>
        <w:t xml:space="preserve">I apply conflict theory in understanding how my civil rights matters developed. The institutions I have confronted — law enforcement, school districts, and the court system — are not neutral structures. They have interests, power, and established practices that tend to reproduce themselves and protect their authority. Understanding this structural reality has made me a better advocate, because I can anticipate how institutions will respond to challenges and why, and I can structure my arguments to address the structural as well as the factual dimensions of each matter.</w:t>
      </w:r>
    </w:p>
    <w:p>
      <w:pPr>
        <w:spacing w:after="120" w:before="0"/>
      </w:pPr>
    </w:p>
    <w:p>
      <w:pPr>
        <w:pStyle w:val="Heading3"/>
        <w:spacing w:after="120" w:before="220"/>
      </w:pPr>
      <w:r>
        <w:rPr>
          <w:rFonts w:ascii="Arial" w:cs="Arial" w:eastAsia="Arial" w:hAnsi="Arial"/>
          <w:b/>
          <w:bCs/>
          <w:i w:val="false"/>
          <w:iCs w:val="false"/>
          <w:caps w:val="false"/>
          <w:color w:val="2E75B6"/>
          <w:sz w:val="22"/>
          <w:szCs w:val="22"/>
        </w:rPr>
        <w:t xml:space="preserve">3.8.3 — Evidence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400"/>
        <w:gridCol w:w="3460"/>
      </w:tblGrid>
      <w:tr>
        <w:trPr>
          <w:tblHeader/>
        </w:trPr>
        <w:tc>
          <w:tcPr>
            <w:tcW w:type="dxa" w:w="29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Document / Record</w:t>
            </w:r>
          </w:p>
        </w:tc>
        <w:tc>
          <w:tcPr>
            <w:tcW w:type="dxa" w:w="16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Type</w:t>
            </w:r>
          </w:p>
        </w:tc>
        <w:tc>
          <w:tcPr>
            <w:tcW w:type="dxa" w:w="14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Date / Period</w:t>
            </w:r>
          </w:p>
        </w:tc>
        <w:tc>
          <w:tcPr>
            <w:tcW w:type="dxa" w:w="34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Course Relevance</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AmeriCorps NCCC Atlantic Region Service Letter — Baltimore MD</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Official Federal Service Letter</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02/07/2011–11/17/2011</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3, 4, 5: 1,746 hours direct community service addressing poverty, educational inequity, and social stratification — signed by Ken Goodson, National Director</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AmeriCorps NCCC Pacific Region Service Letter — Sacramento CA</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Official Federal Service Letter</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10/10/2012–07/23/2013</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2, 3, 5: 1,883 hours direct community service at Sly Park EEC and other sites; environmental access equity; educational equity</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'Helping Hands Come to Sly Park' — Mountain Democrat, Feb. 2, 2013</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Published News Article</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February 2, 2013</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3, 5: Published third-party documentation naming Alexa Rossini; community development; environmental education access for underserved school populations</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 1983 Monell Institutional Behavior Analysis</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Legal Research and Filings</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2021–Present</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2, 5: Structural analysis; institutional causation; conflict theory; sociological imagination — personal harm as structural product</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Equal Protection Research — Stratification and Disparate Treatment</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Research Memoranda</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Ongoing</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3, 5: Social stratification; equal protection; systemic inequality analysis</w:t>
            </w:r>
          </w:p>
        </w:tc>
      </w:tr>
    </w:tbl>
    <w:p>
      <w:pPr>
        <w:spacing w:after="100" w:before="0"/>
      </w:pPr>
    </w:p>
    <w:p>
      <w:pPr>
        <w:pStyle w:val="Heading3"/>
        <w:spacing w:after="120" w:before="220"/>
      </w:pPr>
      <w:r>
        <w:rPr>
          <w:rFonts w:ascii="Arial" w:cs="Arial" w:eastAsia="Arial" w:hAnsi="Arial"/>
          <w:b/>
          <w:bCs/>
          <w:i w:val="false"/>
          <w:iCs w:val="false"/>
          <w:caps w:val="false"/>
          <w:color w:val="2E75B6"/>
          <w:sz w:val="22"/>
          <w:szCs w:val="22"/>
        </w:rPr>
        <w:t xml:space="preserve">3.8.4 — Rubric Self-Assessment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60"/>
        <w:gridCol w:w="1580"/>
        <w:gridCol w:w="1580"/>
        <w:gridCol w:w="1580"/>
        <w:gridCol w:w="1580"/>
        <w:gridCol w:w="1580"/>
      </w:tblGrid>
      <w:tr>
        <w:tc>
          <w:tcPr>
            <w:tcW w:type="dxa" w:w="1460"/>
            <w:tcBorders>
              <w:top w:val="single" w:color="333333" w:sz="4"/>
              <w:left w:val="single" w:color="333333" w:sz="4"/>
              <w:bottom w:val="single" w:color="333333" w:sz="4"/>
              <w:right w:val="single" w:color="333333" w:sz="4"/>
            </w:tcBorders>
            <w:shd w:fill="333333"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Criterion</w:t>
            </w:r>
          </w:p>
        </w:tc>
        <w:tc>
          <w:tcPr>
            <w:tcW w:type="dxa" w:w="1580"/>
            <w:tcBorders>
              <w:top w:val="thick" w:color="375623" w:sz="16"/>
              <w:left w:val="thick" w:color="375623" w:sz="16"/>
              <w:bottom w:val="thick" w:color="375623" w:sz="16"/>
              <w:right w:val="thick" w:color="375623" w:sz="16"/>
            </w:tcBorders>
            <w:shd w:fill="E2EFDA" w:val="clear"/>
            <w:tcMar>
              <w:top w:type="dxa" w:w="100"/>
              <w:left w:type="dxa" w:w="80"/>
              <w:bottom w:type="dxa" w:w="100"/>
              <w:right w:type="dxa" w:w="80"/>
            </w:tcMar>
            <w:vAlign w:val="center"/>
          </w:tcPr>
          <w:p>
            <w:pPr>
              <w:jc w:val="center"/>
            </w:pPr>
            <w:r>
              <w:rPr>
                <w:rFonts w:ascii="Arial" w:cs="Arial" w:eastAsia="Arial" w:hAnsi="Arial"/>
                <w:b/>
                <w:bCs/>
                <w:i w:val="false"/>
                <w:iCs w:val="false"/>
                <w:caps w:val="false"/>
                <w:color w:val="375623"/>
                <w:sz w:val="16"/>
                <w:szCs w:val="16"/>
              </w:rPr>
              <w:t xml:space="preserve">EXEMPLARY  ✓ Claimed</w:t>
            </w:r>
          </w:p>
        </w:tc>
        <w:tc>
          <w:tcPr>
            <w:tcW w:type="dxa" w:w="1580"/>
            <w:tcBorders>
              <w:top w:val="single" w:color="1F3864" w:sz="4"/>
              <w:left w:val="single" w:color="1F3864" w:sz="4"/>
              <w:bottom w:val="single" w:color="1F3864" w:sz="4"/>
              <w:right w:val="single" w:color="1F3864" w:sz="4"/>
            </w:tcBorders>
            <w:shd w:fill="DEEAF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1F3864"/>
                <w:sz w:val="16"/>
                <w:szCs w:val="16"/>
              </w:rPr>
              <w:t xml:space="preserve">PROFICIENT</w:t>
            </w:r>
          </w:p>
        </w:tc>
        <w:tc>
          <w:tcPr>
            <w:tcW w:type="dxa" w:w="1580"/>
            <w:tcBorders>
              <w:top w:val="single" w:color="7F6000" w:sz="4"/>
              <w:left w:val="single" w:color="7F6000" w:sz="4"/>
              <w:bottom w:val="single" w:color="7F6000" w:sz="4"/>
              <w:right w:val="single" w:color="7F6000" w:sz="4"/>
            </w:tcBorders>
            <w:shd w:fill="FFF2CC"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F6000"/>
                <w:sz w:val="16"/>
                <w:szCs w:val="16"/>
              </w:rPr>
              <w:t xml:space="preserve">COMPETENT</w:t>
            </w:r>
          </w:p>
        </w:tc>
        <w:tc>
          <w:tcPr>
            <w:tcW w:type="dxa" w:w="1580"/>
            <w:tcBorders>
              <w:top w:val="single" w:color="843C0C" w:sz="4"/>
              <w:left w:val="single" w:color="843C0C" w:sz="4"/>
              <w:bottom w:val="single" w:color="843C0C" w:sz="4"/>
              <w:right w:val="single" w:color="843C0C" w:sz="4"/>
            </w:tcBorders>
            <w:shd w:fill="FCE4D6"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843C0C"/>
                <w:sz w:val="16"/>
                <w:szCs w:val="16"/>
              </w:rPr>
              <w:t xml:space="preserve">DEVELOPING</w:t>
            </w:r>
          </w:p>
        </w:tc>
        <w:tc>
          <w:tcPr>
            <w:tcW w:type="dxa" w:w="1580"/>
            <w:tcBorders>
              <w:top w:val="single" w:color="7B0000" w:sz="4"/>
              <w:left w:val="single" w:color="7B0000" w:sz="4"/>
              <w:bottom w:val="single" w:color="7B0000" w:sz="4"/>
              <w:right w:val="single" w:color="7B0000" w:sz="4"/>
            </w:tcBorders>
            <w:shd w:fill="FFDFD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B0000"/>
                <w:sz w:val="16"/>
                <w:szCs w:val="16"/>
              </w:rPr>
              <w:t xml:space="preserve">INSUFFICIENT</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Level Description</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Exceeds all learning outcomes; independent mastery; could serve as a teaching example</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all learning outcomes with minimal guidance; demonstrates understanding and application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most learning outcomes; demonstrates adequate understanding with some gaps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some learning outcomes; demonstrates basic awareness but significant gaps remain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Fails to meet most learning outcomes; insufficient evidence of prior learning</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Sociological Perspectives</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apply structural-functionalism, conflict theory, and symbolic interactionism as analytical frameworks in my civil rights and education law practice — not as academic categories but as working analytical tools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Social Structures and Institutions</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My entire legal practice is an analysis of how social structures shape individual experience — law enforcement institutions, school systems, and courts have all produced harms I have researched and litigated</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Stratification and Inequality</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My AmeriCorps service (3,629 documented hours across two federal terms) directly addressed educational, environmental, and economic stratification; my civil rights work addresses systemic inequality in law enforcement and justice</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Sociological Imagination</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The Monell doctrine is applied sociological imagination — my § 1983 work explicitly connects personal harm to structural institutional conditions, precisely as Mills describes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bl>
    <w:p>
      <w:r>
        <w:br w:type="page"/>
      </w:r>
    </w:p>
    <w:p>
      <w:pPr>
        <w:pStyle w:val="Heading2"/>
        <w:spacing w:after="120" w:before="220"/>
      </w:pPr>
      <w:r>
        <w:rPr>
          <w:rFonts w:ascii="Arial" w:cs="Arial" w:eastAsia="Arial" w:hAnsi="Arial"/>
          <w:b/>
          <w:bCs/>
          <w:i w:val="false"/>
          <w:iCs w:val="false"/>
          <w:caps w:val="false"/>
          <w:color w:val="1F3864"/>
          <w:sz w:val="26"/>
          <w:szCs w:val="26"/>
        </w:rPr>
        <w:t xml:space="preserve">Section 3.9 — BUS 100: Introduction to Business</w:t>
      </w:r>
    </w:p>
    <w:p>
      <w:pPr>
        <w:pBdr>
          <w:bottom w:val="single" w:color="2E75B6" w:sz="8" w:space="1"/>
        </w:pBdr>
        <w:spacing w:after="1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560"/>
        <w:gridCol w:w="1000"/>
      </w:tblGrid>
      <w:tr>
        <w:tc>
          <w:tcPr>
            <w:tcW w:type="dxa" w:w="1800"/>
            <w:tcBorders>
              <w:top w:val="single" w:color="1F6B75" w:sz="4"/>
              <w:left w:val="single" w:color="1F6B75" w:sz="4"/>
              <w:bottom w:val="single" w:color="1F6B75" w:sz="4"/>
              <w:right w:val="single" w:color="1F6B75" w:sz="4"/>
            </w:tcBorders>
            <w:shd w:fill="1F6B75"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BUS 100</w:t>
            </w:r>
          </w:p>
        </w:tc>
        <w:tc>
          <w:tcPr>
            <w:tcW w:type="dxa" w:w="65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Introduction to Business</w:t>
            </w:r>
          </w:p>
        </w:tc>
        <w:tc>
          <w:tcPr>
            <w:tcW w:type="dxa" w:w="1000"/>
            <w:tcBorders>
              <w:top w:val="single" w:color="2E75B6" w:sz="4"/>
              <w:left w:val="single" w:color="2E75B6" w:sz="4"/>
              <w:bottom w:val="single" w:color="2E75B6" w:sz="4"/>
              <w:right w:val="single" w:color="2E75B6" w:sz="4"/>
            </w:tcBorders>
            <w:shd w:fill="2E75B6"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3 Credits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Catalog Description</w:t>
            </w:r>
          </w:p>
        </w:tc>
        <w:tc>
          <w:tcPr>
            <w:tcW w:type="dxa" w:w="75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Survey of business functions: management, marketing, finance, accounting, operations, and the business environment. Introduces entrepreneurship, organizational structures, business ethics, and the role of technology in modern business. Emphasis on integrating business functions within a competitive environment.</w:t>
            </w:r>
          </w:p>
        </w:tc>
      </w:tr>
      <w:tr>
        <w:tc>
          <w:tcPr>
            <w:tcW w:type="dxa" w:w="18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FFFFFF"/>
                <w:sz w:val="18"/>
                <w:szCs w:val="18"/>
              </w:rPr>
              <w:t xml:space="preserve">My PLA Basis</w:t>
            </w:r>
          </w:p>
        </w:tc>
        <w:tc>
          <w:tcPr>
            <w:tcW w:type="dxa" w:w="75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direct business formation and operation experience through two distinct ventures. Shuda Enterprises LLC (EIN 39-2133642, PA entity, sole member) is an active legal business entity with tax obligations, compliance requirements, and formal entity structure. Legalitize is a legal technology startup I am building, requiring application of all core business functions: product development, market analysis, operations management, financial planning, and technology strategy. I have built a functioning business — not read about one.</w:t>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3.9.1 — Learning Outcomes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200"/>
        <w:gridCol w:w="2800"/>
      </w:tblGrid>
      <w:tr>
        <w:trPr>
          <w:tblHeader/>
        </w:trPr>
        <w:tc>
          <w:tcPr>
            <w:tcW w:type="dxa" w:w="33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Learning Outcome (DCCC Catalog)</w:t>
            </w:r>
          </w:p>
        </w:tc>
        <w:tc>
          <w:tcPr>
            <w:tcW w:type="dxa" w:w="32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My Demonstrated Competency / Experience</w:t>
            </w:r>
          </w:p>
        </w:tc>
        <w:tc>
          <w:tcPr>
            <w:tcW w:type="dxa" w:w="28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Supporting Documentation</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1: </w:t>
            </w:r>
            <w:r>
              <w:rPr>
                <w:rFonts w:ascii="Arial" w:cs="Arial" w:eastAsia="Arial" w:hAnsi="Arial"/>
                <w:b w:val="false"/>
                <w:bCs w:val="false"/>
                <w:i w:val="false"/>
                <w:iCs w:val="false"/>
                <w:caps w:val="false"/>
                <w:color w:val="333333"/>
                <w:sz w:val="18"/>
                <w:szCs w:val="18"/>
              </w:rPr>
              <w:t xml:space="preserve">Identify and describe the core functions of business: management, marketing, finance, and operations.</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manage all four functions for Shuda Enterprises LLC and Legalitize. Management: I make all strategic and operational decisions, set priorities, allocate resources, and manage the full business cycle. Marketing: I have developed Legalitize's market positioning, identified the target user base (pro se litigants and legal professionals), and developed the product's value proposition. Finance: I manage entity finances, tax compliance (EIN 39-2133642), and resource allocation. Operations: I manage all technical and business operations of both entities.</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Shuda Enterprises LLC IRS EIN documentation (EIN 39-2133642); Legalitize business development documentation; entity financial records; operational planning materials</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2: </w:t>
            </w:r>
            <w:r>
              <w:rPr>
                <w:rFonts w:ascii="Arial" w:cs="Arial" w:eastAsia="Arial" w:hAnsi="Arial"/>
                <w:b w:val="false"/>
                <w:bCs w:val="false"/>
                <w:i w:val="false"/>
                <w:iCs w:val="false"/>
                <w:caps w:val="false"/>
                <w:color w:val="333333"/>
                <w:sz w:val="18"/>
                <w:szCs w:val="18"/>
              </w:rPr>
              <w:t xml:space="preserve">Describe organizational structures and management principles.</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made deliberate organizational structure choices. Shuda Enterprises LLC is a single-member LLC — a specific organizational structure with defined governance, liability protection, and tax treatment. Legalitize is being developed with deliberate structural planning: product architecture, technical team requirements, go-to-market structure, and long-term organizational scaling considerations.</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LLC operating structure; PA LLC Articles of Organization; organizational planning documentation for Legalitize product and business development</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3: </w:t>
            </w:r>
            <w:r>
              <w:rPr>
                <w:rFonts w:ascii="Arial" w:cs="Arial" w:eastAsia="Arial" w:hAnsi="Arial"/>
                <w:b w:val="false"/>
                <w:bCs w:val="false"/>
                <w:i w:val="false"/>
                <w:iCs w:val="false"/>
                <w:caps w:val="false"/>
                <w:color w:val="333333"/>
                <w:sz w:val="18"/>
                <w:szCs w:val="18"/>
              </w:rPr>
              <w:t xml:space="preserve">Analyze the competitive business environment.</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My Legalitize business development required systematic competitive analysis: identifying existing legal technology products (Westlaw, LexisNexis, Clio, MyCase, ROSS Intelligence), understanding their market position and pricing, identifying the gap in the market that Legalitize addresses (accessible AI-powered legal tools for pro se litigants and small practitioners), and developing a competitive positioning strategy.</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Legalitize competitive landscape analysis; legal technology market research; product differentiation documentation; target market analysis</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4: </w:t>
            </w:r>
            <w:r>
              <w:rPr>
                <w:rFonts w:ascii="Arial" w:cs="Arial" w:eastAsia="Arial" w:hAnsi="Arial"/>
                <w:b w:val="false"/>
                <w:bCs w:val="false"/>
                <w:i w:val="false"/>
                <w:iCs w:val="false"/>
                <w:caps w:val="false"/>
                <w:color w:val="333333"/>
                <w:sz w:val="18"/>
                <w:szCs w:val="18"/>
              </w:rPr>
              <w:t xml:space="preserve">Discuss entrepreneurship and the process of starting a business.</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done it. I identified a problem (inaccessible legal tools for pro se litigants), developed a solution (Legalitize platform), formed a legal entity (Shuda Enterprises LLC, EIN 39-2133642), obtained government authorization (PA entity formation, IRS EIN assignment), and began developing the product and business. This is not a hypothetical entrepreneurship project — it is my actual business.</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IRS CP575 EIN assignment letter (05/13/2025); PA LLC formation documents; Legalitize product development documentation; business inception and operation timeline</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5: </w:t>
            </w:r>
            <w:r>
              <w:rPr>
                <w:rFonts w:ascii="Arial" w:cs="Arial" w:eastAsia="Arial" w:hAnsi="Arial"/>
                <w:b w:val="false"/>
                <w:bCs w:val="false"/>
                <w:i w:val="false"/>
                <w:iCs w:val="false"/>
                <w:caps w:val="false"/>
                <w:color w:val="333333"/>
                <w:sz w:val="18"/>
                <w:szCs w:val="18"/>
              </w:rPr>
              <w:t xml:space="preserve">Identify ethical responsibilities in business.</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My business ventures operate in the legal domain, which places heightened ethical obligations on all services and products. Legal technology must be accurate, must not constitute unauthorized practice of law, and must protect user confidentiality. I have researched these ethical constraints in building Legalitize, and I apply legal ethics principles (Pa.R.P.C.) to my business operations.</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Legal technology ethics research; UPL constraint analysis in Legalitize product design; business ethics framework applied to legal services domain</w:t>
            </w:r>
          </w:p>
        </w:tc>
      </w:tr>
    </w:tbl>
    <w:p>
      <w:pPr>
        <w:spacing w:after="120" w:before="0"/>
      </w:pPr>
    </w:p>
    <w:p>
      <w:pPr>
        <w:pStyle w:val="Heading3"/>
        <w:spacing w:after="120" w:before="220"/>
      </w:pPr>
      <w:r>
        <w:rPr>
          <w:rFonts w:ascii="Arial" w:cs="Arial" w:eastAsia="Arial" w:hAnsi="Arial"/>
          <w:b/>
          <w:bCs/>
          <w:i w:val="false"/>
          <w:iCs w:val="false"/>
          <w:caps w:val="false"/>
          <w:color w:val="2E75B6"/>
          <w:sz w:val="22"/>
          <w:szCs w:val="22"/>
        </w:rPr>
        <w:t xml:space="preserve">3.9.2 — My Competency Narrative</w:t>
      </w:r>
    </w:p>
    <w:p>
      <w:pPr>
        <w:spacing w:after="120" w:before="80" w:line="276"/>
        <w:jc w:val="left"/>
      </w:pPr>
      <w:r>
        <w:rPr>
          <w:rFonts w:ascii="Arial" w:cs="Arial" w:eastAsia="Arial" w:hAnsi="Arial"/>
          <w:b w:val="false"/>
          <w:bCs w:val="false"/>
          <w:i w:val="false"/>
          <w:iCs w:val="false"/>
          <w:caps w:val="false"/>
          <w:color w:val="333333"/>
          <w:sz w:val="20"/>
          <w:szCs w:val="20"/>
        </w:rPr>
        <w:t xml:space="preserve">I am an entrepreneur. I identified a problem — the inaccessibility of legal tools for individuals without legal representation — and I am building the solution. Legalitize is my response to a clear market gap: millions of Americans navigate the legal system without an attorney, but the tools that exist for legal research, document preparation, and case management were built for law firms. I am building a platform that brings those capabilities to everyone.</w:t>
      </w:r>
    </w:p>
    <w:p>
      <w:pPr>
        <w:spacing w:after="120" w:before="80" w:line="276"/>
        <w:jc w:val="left"/>
      </w:pPr>
      <w:r>
        <w:rPr>
          <w:rFonts w:ascii="Arial" w:cs="Arial" w:eastAsia="Arial" w:hAnsi="Arial"/>
          <w:b w:val="false"/>
          <w:bCs w:val="false"/>
          <w:i w:val="false"/>
          <w:iCs w:val="false"/>
          <w:caps w:val="false"/>
          <w:color w:val="333333"/>
          <w:sz w:val="20"/>
          <w:szCs w:val="20"/>
        </w:rPr>
        <w:t xml:space="preserve">Shuda Enterprises LLC is the entity through which I operate. It was formed in Pennsylvania, received its EIN (39-2133642) from the IRS on May 13, 2025, and is an active, compliant business entity. Every aspect of forming and maintaining that entity required applied business knowledge: understanding the difference between an LLC and other business structures, the liability protection an LLC provides, the tax obligations of a single-member LLC, and the ongoing compliance requirements for a PA entity.</w:t>
      </w:r>
    </w:p>
    <w:p>
      <w:pPr>
        <w:spacing w:after="120" w:before="80" w:line="276"/>
        <w:jc w:val="left"/>
      </w:pPr>
      <w:r>
        <w:rPr>
          <w:rFonts w:ascii="Arial" w:cs="Arial" w:eastAsia="Arial" w:hAnsi="Arial"/>
          <w:b w:val="false"/>
          <w:bCs w:val="false"/>
          <w:i w:val="false"/>
          <w:iCs w:val="false"/>
          <w:caps w:val="false"/>
          <w:color w:val="333333"/>
          <w:sz w:val="20"/>
          <w:szCs w:val="20"/>
        </w:rPr>
        <w:t xml:space="preserve">Building Legalitize required me to develop and apply all of the core business functions this course covers. On the management side, I am the founder, CEO, and sole decision-maker — responsible for every strategic choice from product architecture to pricing. On the marketing side, I have done systematic competitive analysis of the legal technology market and developed a positioning strategy grounded in the specific needs of pro se litigants. On the finance side, I manage the entity's finances, plan for product development costs, and think about the path to revenue. On the operations side, I manage the technical development of the platform.</w:t>
      </w:r>
    </w:p>
    <w:p>
      <w:pPr>
        <w:spacing w:after="120" w:before="80" w:line="276"/>
        <w:jc w:val="left"/>
      </w:pPr>
      <w:r>
        <w:rPr>
          <w:rFonts w:ascii="Arial" w:cs="Arial" w:eastAsia="Arial" w:hAnsi="Arial"/>
          <w:b w:val="false"/>
          <w:bCs w:val="false"/>
          <w:i w:val="false"/>
          <w:iCs w:val="false"/>
          <w:caps w:val="false"/>
          <w:color w:val="333333"/>
          <w:sz w:val="20"/>
          <w:szCs w:val="20"/>
        </w:rPr>
        <w:t xml:space="preserve">I understand business ethics at a specific level that goes beyond general principles. Operating in the legal domain means I must understand the prohibition on unauthorized practice of law, the confidentiality obligations that apply to legal service providers, the accuracy obligations for legal information products, and the risk of liability for misleading legal guidance. Navigating these ethical constraints has required me to research the legal ethics framework that governs legal technology — an area where business ethics and professional responsibility intersect.</w:t>
      </w:r>
    </w:p>
    <w:p>
      <w:pPr>
        <w:spacing w:after="120" w:before="0"/>
      </w:pPr>
    </w:p>
    <w:p>
      <w:pPr>
        <w:pStyle w:val="Heading3"/>
        <w:spacing w:after="120" w:before="220"/>
      </w:pPr>
      <w:r>
        <w:rPr>
          <w:rFonts w:ascii="Arial" w:cs="Arial" w:eastAsia="Arial" w:hAnsi="Arial"/>
          <w:b/>
          <w:bCs/>
          <w:i w:val="false"/>
          <w:iCs w:val="false"/>
          <w:caps w:val="false"/>
          <w:color w:val="2E75B6"/>
          <w:sz w:val="22"/>
          <w:szCs w:val="22"/>
        </w:rPr>
        <w:t xml:space="preserve">3.9.3 — Evidence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400"/>
        <w:gridCol w:w="3460"/>
      </w:tblGrid>
      <w:tr>
        <w:trPr>
          <w:tblHeader/>
        </w:trPr>
        <w:tc>
          <w:tcPr>
            <w:tcW w:type="dxa" w:w="29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Document / Record</w:t>
            </w:r>
          </w:p>
        </w:tc>
        <w:tc>
          <w:tcPr>
            <w:tcW w:type="dxa" w:w="16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Type</w:t>
            </w:r>
          </w:p>
        </w:tc>
        <w:tc>
          <w:tcPr>
            <w:tcW w:type="dxa" w:w="14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Date / Period</w:t>
            </w:r>
          </w:p>
        </w:tc>
        <w:tc>
          <w:tcPr>
            <w:tcW w:type="dxa" w:w="34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Course Relevance</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IRS CP575 Notice — EIN Assignment (EIN 39-2133642)</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Official Federal Tax Document</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05/13/2025</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2, 4: Entity formation; government business registration; tax compliance — Shuda Enterprises LLC</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PA LLC Articles of Organization — Shuda Enterprises LLC</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State Business Filing</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2025</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2, 4: Organizational structure; LLC governance; PA entity formation</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Legalitize Platform Development Documentation</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Business Development Documentation</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2024–Present</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1–5: All business functions; entrepreneurship; competitive analysis; market positioning; product development</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Competitive Legal Technology Market Analysis</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Business Research</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2024–Present</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3: Competitive environment; market gap identification; positioning strategy</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Legal Technology Ethics Research — UPL and Confidentiality Framework</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Research Documentation</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2024–Present</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5: Business ethics in legal domain; UPL constraints; accuracy obligations</w:t>
            </w:r>
          </w:p>
        </w:tc>
      </w:tr>
    </w:tbl>
    <w:p>
      <w:pPr>
        <w:spacing w:after="100" w:before="0"/>
      </w:pPr>
    </w:p>
    <w:p>
      <w:pPr>
        <w:pStyle w:val="Heading3"/>
        <w:spacing w:after="120" w:before="220"/>
      </w:pPr>
      <w:r>
        <w:rPr>
          <w:rFonts w:ascii="Arial" w:cs="Arial" w:eastAsia="Arial" w:hAnsi="Arial"/>
          <w:b/>
          <w:bCs/>
          <w:i w:val="false"/>
          <w:iCs w:val="false"/>
          <w:caps w:val="false"/>
          <w:color w:val="2E75B6"/>
          <w:sz w:val="22"/>
          <w:szCs w:val="22"/>
        </w:rPr>
        <w:t xml:space="preserve">3.9.4 — Rubric Self-Assessment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60"/>
        <w:gridCol w:w="1580"/>
        <w:gridCol w:w="1580"/>
        <w:gridCol w:w="1580"/>
        <w:gridCol w:w="1580"/>
        <w:gridCol w:w="1580"/>
      </w:tblGrid>
      <w:tr>
        <w:tc>
          <w:tcPr>
            <w:tcW w:type="dxa" w:w="1460"/>
            <w:tcBorders>
              <w:top w:val="single" w:color="333333" w:sz="4"/>
              <w:left w:val="single" w:color="333333" w:sz="4"/>
              <w:bottom w:val="single" w:color="333333" w:sz="4"/>
              <w:right w:val="single" w:color="333333" w:sz="4"/>
            </w:tcBorders>
            <w:shd w:fill="333333"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Criterion</w:t>
            </w:r>
          </w:p>
        </w:tc>
        <w:tc>
          <w:tcPr>
            <w:tcW w:type="dxa" w:w="1580"/>
            <w:tcBorders>
              <w:top w:val="thick" w:color="375623" w:sz="16"/>
              <w:left w:val="thick" w:color="375623" w:sz="16"/>
              <w:bottom w:val="thick" w:color="375623" w:sz="16"/>
              <w:right w:val="thick" w:color="375623" w:sz="16"/>
            </w:tcBorders>
            <w:shd w:fill="E2EFDA" w:val="clear"/>
            <w:tcMar>
              <w:top w:type="dxa" w:w="100"/>
              <w:left w:type="dxa" w:w="80"/>
              <w:bottom w:type="dxa" w:w="100"/>
              <w:right w:type="dxa" w:w="80"/>
            </w:tcMar>
            <w:vAlign w:val="center"/>
          </w:tcPr>
          <w:p>
            <w:pPr>
              <w:jc w:val="center"/>
            </w:pPr>
            <w:r>
              <w:rPr>
                <w:rFonts w:ascii="Arial" w:cs="Arial" w:eastAsia="Arial" w:hAnsi="Arial"/>
                <w:b/>
                <w:bCs/>
                <w:i w:val="false"/>
                <w:iCs w:val="false"/>
                <w:caps w:val="false"/>
                <w:color w:val="375623"/>
                <w:sz w:val="16"/>
                <w:szCs w:val="16"/>
              </w:rPr>
              <w:t xml:space="preserve">EXEMPLARY  ✓ Claimed</w:t>
            </w:r>
          </w:p>
        </w:tc>
        <w:tc>
          <w:tcPr>
            <w:tcW w:type="dxa" w:w="1580"/>
            <w:tcBorders>
              <w:top w:val="single" w:color="1F3864" w:sz="4"/>
              <w:left w:val="single" w:color="1F3864" w:sz="4"/>
              <w:bottom w:val="single" w:color="1F3864" w:sz="4"/>
              <w:right w:val="single" w:color="1F3864" w:sz="4"/>
            </w:tcBorders>
            <w:shd w:fill="DEEAF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1F3864"/>
                <w:sz w:val="16"/>
                <w:szCs w:val="16"/>
              </w:rPr>
              <w:t xml:space="preserve">PROFICIENT</w:t>
            </w:r>
          </w:p>
        </w:tc>
        <w:tc>
          <w:tcPr>
            <w:tcW w:type="dxa" w:w="1580"/>
            <w:tcBorders>
              <w:top w:val="single" w:color="7F6000" w:sz="4"/>
              <w:left w:val="single" w:color="7F6000" w:sz="4"/>
              <w:bottom w:val="single" w:color="7F6000" w:sz="4"/>
              <w:right w:val="single" w:color="7F6000" w:sz="4"/>
            </w:tcBorders>
            <w:shd w:fill="FFF2CC"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F6000"/>
                <w:sz w:val="16"/>
                <w:szCs w:val="16"/>
              </w:rPr>
              <w:t xml:space="preserve">COMPETENT</w:t>
            </w:r>
          </w:p>
        </w:tc>
        <w:tc>
          <w:tcPr>
            <w:tcW w:type="dxa" w:w="1580"/>
            <w:tcBorders>
              <w:top w:val="single" w:color="843C0C" w:sz="4"/>
              <w:left w:val="single" w:color="843C0C" w:sz="4"/>
              <w:bottom w:val="single" w:color="843C0C" w:sz="4"/>
              <w:right w:val="single" w:color="843C0C" w:sz="4"/>
            </w:tcBorders>
            <w:shd w:fill="FCE4D6"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843C0C"/>
                <w:sz w:val="16"/>
                <w:szCs w:val="16"/>
              </w:rPr>
              <w:t xml:space="preserve">DEVELOPING</w:t>
            </w:r>
          </w:p>
        </w:tc>
        <w:tc>
          <w:tcPr>
            <w:tcW w:type="dxa" w:w="1580"/>
            <w:tcBorders>
              <w:top w:val="single" w:color="7B0000" w:sz="4"/>
              <w:left w:val="single" w:color="7B0000" w:sz="4"/>
              <w:bottom w:val="single" w:color="7B0000" w:sz="4"/>
              <w:right w:val="single" w:color="7B0000" w:sz="4"/>
            </w:tcBorders>
            <w:shd w:fill="FFDFD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B0000"/>
                <w:sz w:val="16"/>
                <w:szCs w:val="16"/>
              </w:rPr>
              <w:t xml:space="preserve">INSUFFICIENT</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Level Description</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Exceeds all learning outcomes; independent mastery; could serve as a teaching example</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all learning outcomes with minimal guidance; demonstrates understanding and application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most learning outcomes; demonstrates adequate understanding with some gaps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some learning outcomes; demonstrates basic awareness but significant gaps remain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Fails to meet most learning outcomes; insufficient evidence of prior learning</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Business Functions</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operate all four core business functions (management, marketing, finance, operations) for two active business ventures — Shuda Enterprises LLC and Legalitize — not as simulations but as real businesses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Entrepreneurship</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have executed the complete entrepreneurship lifecycle: problem identification, solution development, entity formation, government registration (EIN), and active product development</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Competitive Environment</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My Legalitize development required systematic competitive landscape analysis of the legal technology market — identifying gaps, competitors, and positioning opportunities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Business Ethics</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Operating in the legal domain requires specific applied ethical knowledge (UPL, confidentiality, accuracy) that I have researched and applied in designing Legalitize's compliance framework</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bl>
    <w:p>
      <w:r>
        <w:br w:type="page"/>
      </w:r>
    </w:p>
    <w:p>
      <w:pPr>
        <w:pStyle w:val="Heading2"/>
        <w:spacing w:after="120" w:before="220"/>
      </w:pPr>
      <w:r>
        <w:rPr>
          <w:rFonts w:ascii="Arial" w:cs="Arial" w:eastAsia="Arial" w:hAnsi="Arial"/>
          <w:b/>
          <w:bCs/>
          <w:i w:val="false"/>
          <w:iCs w:val="false"/>
          <w:caps w:val="false"/>
          <w:color w:val="1F3864"/>
          <w:sz w:val="26"/>
          <w:szCs w:val="26"/>
        </w:rPr>
        <w:t xml:space="preserve">Section 3.10 — BUS 104: Business Law</w:t>
      </w:r>
    </w:p>
    <w:p>
      <w:pPr>
        <w:pBdr>
          <w:bottom w:val="single" w:color="2E75B6" w:sz="8" w:space="1"/>
        </w:pBdr>
        <w:spacing w:after="1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560"/>
        <w:gridCol w:w="1000"/>
      </w:tblGrid>
      <w:tr>
        <w:tc>
          <w:tcPr>
            <w:tcW w:type="dxa" w:w="1800"/>
            <w:tcBorders>
              <w:top w:val="single" w:color="1F6B75" w:sz="4"/>
              <w:left w:val="single" w:color="1F6B75" w:sz="4"/>
              <w:bottom w:val="single" w:color="1F6B75" w:sz="4"/>
              <w:right w:val="single" w:color="1F6B75" w:sz="4"/>
            </w:tcBorders>
            <w:shd w:fill="1F6B75"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BUS 104</w:t>
            </w:r>
          </w:p>
        </w:tc>
        <w:tc>
          <w:tcPr>
            <w:tcW w:type="dxa" w:w="65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Business Law</w:t>
            </w:r>
          </w:p>
        </w:tc>
        <w:tc>
          <w:tcPr>
            <w:tcW w:type="dxa" w:w="1000"/>
            <w:tcBorders>
              <w:top w:val="single" w:color="2E75B6" w:sz="4"/>
              <w:left w:val="single" w:color="2E75B6" w:sz="4"/>
              <w:bottom w:val="single" w:color="2E75B6" w:sz="4"/>
              <w:right w:val="single" w:color="2E75B6" w:sz="4"/>
            </w:tcBorders>
            <w:shd w:fill="2E75B6"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3 Credits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Catalog Description</w:t>
            </w:r>
          </w:p>
        </w:tc>
        <w:tc>
          <w:tcPr>
            <w:tcW w:type="dxa" w:w="75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Survey of legal principles governing business: contracts, torts, agency, business organizations (sole proprietorship, partnership, LLC, corporation), employment law, intellectual property, and regulatory compliance. Quantitative Reasoning (QR) designated. Prerequisite: BUS 100 or concurrent enrollment.</w:t>
            </w:r>
          </w:p>
        </w:tc>
      </w:tr>
      <w:tr>
        <w:tc>
          <w:tcPr>
            <w:tcW w:type="dxa" w:w="18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FFFFFF"/>
                <w:sz w:val="18"/>
                <w:szCs w:val="18"/>
              </w:rPr>
              <w:t xml:space="preserve">My PLA Basis</w:t>
            </w:r>
          </w:p>
        </w:tc>
        <w:tc>
          <w:tcPr>
            <w:tcW w:type="dxa" w:w="75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Business Law is the area in which my legal knowledge and business experience directly intersect. I have formed a Pennsylvania LLC (Shuda Enterprises LLC, EIN 39-2133642), analyzed and entered contracts, researched employment law in connection with business operations, applied tort principles in my civil rights litigation, and navigated the full regulatory compliance framework applicable to a PA business entity. My knowledge of business law is not textbook-derived — it has been built through operational application.</w:t>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3.10.1 — Learning Outcomes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200"/>
        <w:gridCol w:w="2800"/>
      </w:tblGrid>
      <w:tr>
        <w:trPr>
          <w:tblHeader/>
        </w:trPr>
        <w:tc>
          <w:tcPr>
            <w:tcW w:type="dxa" w:w="33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Learning Outcome (DCCC Catalog)</w:t>
            </w:r>
          </w:p>
        </w:tc>
        <w:tc>
          <w:tcPr>
            <w:tcW w:type="dxa" w:w="32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My Demonstrated Competency / Experience</w:t>
            </w:r>
          </w:p>
        </w:tc>
        <w:tc>
          <w:tcPr>
            <w:tcW w:type="dxa" w:w="28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Supporting Documentation</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1: </w:t>
            </w:r>
            <w:r>
              <w:rPr>
                <w:rFonts w:ascii="Arial" w:cs="Arial" w:eastAsia="Arial" w:hAnsi="Arial"/>
                <w:b w:val="false"/>
                <w:bCs w:val="false"/>
                <w:i w:val="false"/>
                <w:iCs w:val="false"/>
                <w:caps w:val="false"/>
                <w:color w:val="333333"/>
                <w:sz w:val="18"/>
                <w:szCs w:val="18"/>
              </w:rPr>
              <w:t xml:space="preserve">Identify and apply the elements of contract formation and performance.</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Contracts are fundamental to my legal and business practice. I understand offer, acceptance, consideration, capacity, and legality as the elements of enforceable contract formation. I have analyzed contract performance obligations, breach, and remedy in connection with business and legal matters. I have also researched the Uniform Commercial Code (UCC) as it applies to commercial transactions relevant to business operations.</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Contract analysis in business operations; LLC operating agreement structure; vendor and service contract review; UCC research in commercial context</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2: </w:t>
            </w:r>
            <w:r>
              <w:rPr>
                <w:rFonts w:ascii="Arial" w:cs="Arial" w:eastAsia="Arial" w:hAnsi="Arial"/>
                <w:b w:val="false"/>
                <w:bCs w:val="false"/>
                <w:i w:val="false"/>
                <w:iCs w:val="false"/>
                <w:caps w:val="false"/>
                <w:color w:val="333333"/>
                <w:sz w:val="18"/>
                <w:szCs w:val="18"/>
              </w:rPr>
              <w:t xml:space="preserve">Analyze tort law and civil liability in business contexts.</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Civil liability is my primary area of legal expertise. I have researched intentional torts, negligence (duty, breach, causation, damages), strict liability, and civil rights torts (§ 1983) at a depth that far exceeds BUS 104's survey treatment. I understand the difference between tort claims in business contexts and constitutional tort claims, and I have litigated the latter.</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 1983 civil rights tort analysis; negligence standard research; tort damages analysis; civil liability research across multiple matter types</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3: </w:t>
            </w:r>
            <w:r>
              <w:rPr>
                <w:rFonts w:ascii="Arial" w:cs="Arial" w:eastAsia="Arial" w:hAnsi="Arial"/>
                <w:b w:val="false"/>
                <w:bCs w:val="false"/>
                <w:i w:val="false"/>
                <w:iCs w:val="false"/>
                <w:caps w:val="false"/>
                <w:color w:val="333333"/>
                <w:sz w:val="18"/>
                <w:szCs w:val="18"/>
              </w:rPr>
              <w:t xml:space="preserve">Describe business organizational structures: sole proprietorship, partnership, LLC, corporation.</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made a deliberate choice to form an LLC — Shuda Enterprises LLC — because of the specific legal characteristics of that entity form: pass-through taxation, limited liability protection, operational flexibility, and simplified governance requirements compared to a corporation. I researched all four major entity types before selecting the LLC structure, and I understand the legal differences between them at a practical level.</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PA LLC Articles of Organization; IRS EIN documentation (EIN 39-2133642); entity selection analysis documentation; LLC operating structure</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4: </w:t>
            </w:r>
            <w:r>
              <w:rPr>
                <w:rFonts w:ascii="Arial" w:cs="Arial" w:eastAsia="Arial" w:hAnsi="Arial"/>
                <w:b w:val="false"/>
                <w:bCs w:val="false"/>
                <w:i w:val="false"/>
                <w:iCs w:val="false"/>
                <w:caps w:val="false"/>
                <w:color w:val="333333"/>
                <w:sz w:val="18"/>
                <w:szCs w:val="18"/>
              </w:rPr>
              <w:t xml:space="preserve">Identify employment law principles applicable to business operations.</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As a business operator and the sole member of an LLC, I have researched employment law obligations applicable to business operations: independent contractor vs. employee classification, withholding obligations, FICA/FUTA requirements for employees, workplace safety obligations, and anti-discrimination requirements. I understand the distinction between owner-operator obligations and employer obligations.</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Employment classification research; LLC member/owner vs. employee analysis; federal tax obligation research (IRS EIN context); regulatory compliance documentation</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5: </w:t>
            </w:r>
            <w:r>
              <w:rPr>
                <w:rFonts w:ascii="Arial" w:cs="Arial" w:eastAsia="Arial" w:hAnsi="Arial"/>
                <w:b w:val="false"/>
                <w:bCs w:val="false"/>
                <w:i w:val="false"/>
                <w:iCs w:val="false"/>
                <w:caps w:val="false"/>
                <w:color w:val="333333"/>
                <w:sz w:val="18"/>
                <w:szCs w:val="18"/>
              </w:rPr>
              <w:t xml:space="preserve">Analyze intellectual property rights and protections.</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Legalitize involves intellectual property considerations at multiple levels: the software code (copyright), the brand name and logo (trademark), and any novel processes or methods (potential patent consideration). I have researched IP protection strategies for technology startups and understand the legal framework for protecting software-based IP.</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Legalitize IP strategy documentation; copyright, trademark, and patent framework research for legal technology platform; software IP protection analysis</w:t>
            </w:r>
          </w:p>
        </w:tc>
      </w:tr>
    </w:tbl>
    <w:p>
      <w:pPr>
        <w:spacing w:after="120" w:before="0"/>
      </w:pPr>
    </w:p>
    <w:p>
      <w:pPr>
        <w:pStyle w:val="Heading3"/>
        <w:spacing w:after="120" w:before="220"/>
      </w:pPr>
      <w:r>
        <w:rPr>
          <w:rFonts w:ascii="Arial" w:cs="Arial" w:eastAsia="Arial" w:hAnsi="Arial"/>
          <w:b/>
          <w:bCs/>
          <w:i w:val="false"/>
          <w:iCs w:val="false"/>
          <w:caps w:val="false"/>
          <w:color w:val="2E75B6"/>
          <w:sz w:val="22"/>
          <w:szCs w:val="22"/>
        </w:rPr>
        <w:t xml:space="preserve">3.10.2 — My Competency Narrative</w:t>
      </w:r>
    </w:p>
    <w:p>
      <w:pPr>
        <w:spacing w:after="120" w:before="80" w:line="276"/>
        <w:jc w:val="left"/>
      </w:pPr>
      <w:r>
        <w:rPr>
          <w:rFonts w:ascii="Arial" w:cs="Arial" w:eastAsia="Arial" w:hAnsi="Arial"/>
          <w:b w:val="false"/>
          <w:bCs w:val="false"/>
          <w:i w:val="false"/>
          <w:iCs w:val="false"/>
          <w:caps w:val="false"/>
          <w:color w:val="333333"/>
          <w:sz w:val="20"/>
          <w:szCs w:val="20"/>
        </w:rPr>
        <w:t xml:space="preserve">Business Law is the course that most precisely maps to the intersection of my legal expertise and my business experience. Every topic in BUS 104's curriculum is something I have researched and applied operationally.</w:t>
      </w:r>
    </w:p>
    <w:p>
      <w:pPr>
        <w:spacing w:after="120" w:before="80" w:line="276"/>
        <w:jc w:val="left"/>
      </w:pPr>
      <w:r>
        <w:rPr>
          <w:rFonts w:ascii="Arial" w:cs="Arial" w:eastAsia="Arial" w:hAnsi="Arial"/>
          <w:b w:val="false"/>
          <w:bCs w:val="false"/>
          <w:i w:val="false"/>
          <w:iCs w:val="false"/>
          <w:caps w:val="false"/>
          <w:color w:val="333333"/>
          <w:sz w:val="20"/>
          <w:szCs w:val="20"/>
        </w:rPr>
        <w:t xml:space="preserve">Contract law is the foundation of business operations, and I have engaged with it at multiple levels. As the operator of Shuda Enterprises LLC and the developer of Legalitize, I have entered into service agreements, analyzed vendor terms, and reviewed contractual obligations. More importantly, I understand contract law at the level of legal principle — the Restatement (Second) of Contracts, UCC Article 2 for commercial transactions, and the equitable doctrines of promissory estoppel and quasi-contract that expand contractual liability beyond formal agreement.</w:t>
      </w:r>
    </w:p>
    <w:p>
      <w:pPr>
        <w:spacing w:after="120" w:before="80" w:line="276"/>
        <w:jc w:val="left"/>
      </w:pPr>
      <w:r>
        <w:rPr>
          <w:rFonts w:ascii="Arial" w:cs="Arial" w:eastAsia="Arial" w:hAnsi="Arial"/>
          <w:b w:val="false"/>
          <w:bCs w:val="false"/>
          <w:i w:val="false"/>
          <w:iCs w:val="false"/>
          <w:caps w:val="false"/>
          <w:color w:val="333333"/>
          <w:sz w:val="20"/>
          <w:szCs w:val="20"/>
        </w:rPr>
        <w:t xml:space="preserve">Tort law is my primary legal specialization. My 42 U.S.C. § 1983 civil rights action is, at its core, a tort action: the government actors' constitutional violations are tortious wrongs that give rise to civil liability and damages. I have researched the elements of § 1983 claims (deprivation of a constitutional right under color of state law), the qualified immunity defense, and the Monell theory of municipal liability. I also understand business tort doctrines — negligence, fraud, misrepresentation, and interference with contract — and how they apply in commercial contexts.</w:t>
      </w:r>
    </w:p>
    <w:p>
      <w:pPr>
        <w:spacing w:after="120" w:before="80" w:line="276"/>
        <w:jc w:val="left"/>
      </w:pPr>
      <w:r>
        <w:rPr>
          <w:rFonts w:ascii="Arial" w:cs="Arial" w:eastAsia="Arial" w:hAnsi="Arial"/>
          <w:b w:val="false"/>
          <w:bCs w:val="false"/>
          <w:i w:val="false"/>
          <w:iCs w:val="false"/>
          <w:caps w:val="false"/>
          <w:color w:val="333333"/>
          <w:sz w:val="20"/>
          <w:szCs w:val="20"/>
        </w:rPr>
        <w:t xml:space="preserve">My LLC formation is the most direct evidence of applied business law knowledge. Choosing the LLC structure required analysis of the comparative legal characteristics of business entity types: liability protection, taxation, governance, and capital formation. The Articles of Organization, operating agreement, and EIN application all reflect specific legal requirements that I identified, understood, and complied with. The IRS CP575 letter (EIN 39-2133642, issued May 13, 2025) confirms that Shuda Enterprises LLC is a properly formed and registered business entity.</w:t>
      </w:r>
    </w:p>
    <w:p>
      <w:pPr>
        <w:spacing w:after="120" w:before="0"/>
      </w:pPr>
    </w:p>
    <w:p>
      <w:pPr>
        <w:pStyle w:val="Heading3"/>
        <w:spacing w:after="120" w:before="220"/>
      </w:pPr>
      <w:r>
        <w:rPr>
          <w:rFonts w:ascii="Arial" w:cs="Arial" w:eastAsia="Arial" w:hAnsi="Arial"/>
          <w:b/>
          <w:bCs/>
          <w:i w:val="false"/>
          <w:iCs w:val="false"/>
          <w:caps w:val="false"/>
          <w:color w:val="2E75B6"/>
          <w:sz w:val="22"/>
          <w:szCs w:val="22"/>
        </w:rPr>
        <w:t xml:space="preserve">3.10.3 — Evidence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400"/>
        <w:gridCol w:w="3460"/>
      </w:tblGrid>
      <w:tr>
        <w:trPr>
          <w:tblHeader/>
        </w:trPr>
        <w:tc>
          <w:tcPr>
            <w:tcW w:type="dxa" w:w="29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Document / Record</w:t>
            </w:r>
          </w:p>
        </w:tc>
        <w:tc>
          <w:tcPr>
            <w:tcW w:type="dxa" w:w="16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Type</w:t>
            </w:r>
          </w:p>
        </w:tc>
        <w:tc>
          <w:tcPr>
            <w:tcW w:type="dxa" w:w="14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Date / Period</w:t>
            </w:r>
          </w:p>
        </w:tc>
        <w:tc>
          <w:tcPr>
            <w:tcW w:type="dxa" w:w="34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Course Relevance</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IRS CP575 EIN Assignment Notice — Shuda Enterprises LLC</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Official Federal Tax Document</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05/13/2025</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3, 4: LLC entity formation; EIN registration; federal business compliance — EIN 39-2133642</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PA LLC Articles of Organization</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State Business Formation Filing</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2025</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3: LLC organizational structure; PA entity formation requirements; limited liability framework</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 1983 Civil Rights Tort Analysis</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Legal Research and Filings</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2021–Present</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2: Tort law; constitutional torts; civil liability; damages theory — advanced beyond BUS 104 scope</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Contract Analysis in Business Operations</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Business Documentation</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2024–Present</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Contract formation; vendor agreements; service terms; UCC commercial framework</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Legalitize IP Strategy Documentation</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Business Development Documentation</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2024–Present</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5: Intellectual property; software copyright; trademark; legal technology IP framework</w:t>
            </w:r>
          </w:p>
        </w:tc>
      </w:tr>
    </w:tbl>
    <w:p>
      <w:pPr>
        <w:spacing w:after="100" w:before="0"/>
      </w:pPr>
    </w:p>
    <w:p>
      <w:pPr>
        <w:pStyle w:val="Heading3"/>
        <w:spacing w:after="120" w:before="220"/>
      </w:pPr>
      <w:r>
        <w:rPr>
          <w:rFonts w:ascii="Arial" w:cs="Arial" w:eastAsia="Arial" w:hAnsi="Arial"/>
          <w:b/>
          <w:bCs/>
          <w:i w:val="false"/>
          <w:iCs w:val="false"/>
          <w:caps w:val="false"/>
          <w:color w:val="2E75B6"/>
          <w:sz w:val="22"/>
          <w:szCs w:val="22"/>
        </w:rPr>
        <w:t xml:space="preserve">3.10.4 — Rubric Self-Assessment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60"/>
        <w:gridCol w:w="1580"/>
        <w:gridCol w:w="1580"/>
        <w:gridCol w:w="1580"/>
        <w:gridCol w:w="1580"/>
        <w:gridCol w:w="1580"/>
      </w:tblGrid>
      <w:tr>
        <w:tc>
          <w:tcPr>
            <w:tcW w:type="dxa" w:w="1460"/>
            <w:tcBorders>
              <w:top w:val="single" w:color="333333" w:sz="4"/>
              <w:left w:val="single" w:color="333333" w:sz="4"/>
              <w:bottom w:val="single" w:color="333333" w:sz="4"/>
              <w:right w:val="single" w:color="333333" w:sz="4"/>
            </w:tcBorders>
            <w:shd w:fill="333333"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Criterion</w:t>
            </w:r>
          </w:p>
        </w:tc>
        <w:tc>
          <w:tcPr>
            <w:tcW w:type="dxa" w:w="1580"/>
            <w:tcBorders>
              <w:top w:val="thick" w:color="375623" w:sz="16"/>
              <w:left w:val="thick" w:color="375623" w:sz="16"/>
              <w:bottom w:val="thick" w:color="375623" w:sz="16"/>
              <w:right w:val="thick" w:color="375623" w:sz="16"/>
            </w:tcBorders>
            <w:shd w:fill="E2EFDA" w:val="clear"/>
            <w:tcMar>
              <w:top w:type="dxa" w:w="100"/>
              <w:left w:type="dxa" w:w="80"/>
              <w:bottom w:type="dxa" w:w="100"/>
              <w:right w:type="dxa" w:w="80"/>
            </w:tcMar>
            <w:vAlign w:val="center"/>
          </w:tcPr>
          <w:p>
            <w:pPr>
              <w:jc w:val="center"/>
            </w:pPr>
            <w:r>
              <w:rPr>
                <w:rFonts w:ascii="Arial" w:cs="Arial" w:eastAsia="Arial" w:hAnsi="Arial"/>
                <w:b/>
                <w:bCs/>
                <w:i w:val="false"/>
                <w:iCs w:val="false"/>
                <w:caps w:val="false"/>
                <w:color w:val="375623"/>
                <w:sz w:val="16"/>
                <w:szCs w:val="16"/>
              </w:rPr>
              <w:t xml:space="preserve">EXEMPLARY  ✓ Claimed</w:t>
            </w:r>
          </w:p>
        </w:tc>
        <w:tc>
          <w:tcPr>
            <w:tcW w:type="dxa" w:w="1580"/>
            <w:tcBorders>
              <w:top w:val="single" w:color="1F3864" w:sz="4"/>
              <w:left w:val="single" w:color="1F3864" w:sz="4"/>
              <w:bottom w:val="single" w:color="1F3864" w:sz="4"/>
              <w:right w:val="single" w:color="1F3864" w:sz="4"/>
            </w:tcBorders>
            <w:shd w:fill="DEEAF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1F3864"/>
                <w:sz w:val="16"/>
                <w:szCs w:val="16"/>
              </w:rPr>
              <w:t xml:space="preserve">PROFICIENT</w:t>
            </w:r>
          </w:p>
        </w:tc>
        <w:tc>
          <w:tcPr>
            <w:tcW w:type="dxa" w:w="1580"/>
            <w:tcBorders>
              <w:top w:val="single" w:color="7F6000" w:sz="4"/>
              <w:left w:val="single" w:color="7F6000" w:sz="4"/>
              <w:bottom w:val="single" w:color="7F6000" w:sz="4"/>
              <w:right w:val="single" w:color="7F6000" w:sz="4"/>
            </w:tcBorders>
            <w:shd w:fill="FFF2CC"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F6000"/>
                <w:sz w:val="16"/>
                <w:szCs w:val="16"/>
              </w:rPr>
              <w:t xml:space="preserve">COMPETENT</w:t>
            </w:r>
          </w:p>
        </w:tc>
        <w:tc>
          <w:tcPr>
            <w:tcW w:type="dxa" w:w="1580"/>
            <w:tcBorders>
              <w:top w:val="single" w:color="843C0C" w:sz="4"/>
              <w:left w:val="single" w:color="843C0C" w:sz="4"/>
              <w:bottom w:val="single" w:color="843C0C" w:sz="4"/>
              <w:right w:val="single" w:color="843C0C" w:sz="4"/>
            </w:tcBorders>
            <w:shd w:fill="FCE4D6"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843C0C"/>
                <w:sz w:val="16"/>
                <w:szCs w:val="16"/>
              </w:rPr>
              <w:t xml:space="preserve">DEVELOPING</w:t>
            </w:r>
          </w:p>
        </w:tc>
        <w:tc>
          <w:tcPr>
            <w:tcW w:type="dxa" w:w="1580"/>
            <w:tcBorders>
              <w:top w:val="single" w:color="7B0000" w:sz="4"/>
              <w:left w:val="single" w:color="7B0000" w:sz="4"/>
              <w:bottom w:val="single" w:color="7B0000" w:sz="4"/>
              <w:right w:val="single" w:color="7B0000" w:sz="4"/>
            </w:tcBorders>
            <w:shd w:fill="FFDFD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B0000"/>
                <w:sz w:val="16"/>
                <w:szCs w:val="16"/>
              </w:rPr>
              <w:t xml:space="preserve">INSUFFICIENT</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Level Description</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Exceeds all learning outcomes; independent mastery; could serve as a teaching example</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all learning outcomes with minimal guidance; demonstrates understanding and application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most learning outcomes; demonstrates adequate understanding with some gaps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some learning outcomes; demonstrates basic awareness but significant gaps remain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Fails to meet most learning outcomes; insufficient evidence of prior learning</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Contract Law</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have engaged with contract law at the level of legal principle — Restatement standards, UCC, equitable doctrines — and applied them in operational business and litigation contexts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Tort Law</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Civil tort liability is my primary legal specialization; my § 1983 work demonstrates mastery of constitutional tort doctrine far exceeding BUS 104's survey treatment</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Business Organizations</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formed and operate a Pennsylvania LLC — researched, analyzed, and executed the entity formation process, including IRS registration (EIN 39-2133642) and PA compliance</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Regulatory Compliance</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have researched and applied employment law, tax obligations, IP protection, and business ethics requirements as applied to an active legal technology startup</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bl>
    <w:p>
      <w:r>
        <w:br w:type="page"/>
      </w:r>
    </w:p>
    <w:p>
      <w:pPr>
        <w:pStyle w:val="Heading2"/>
        <w:spacing w:after="120" w:before="220"/>
      </w:pPr>
      <w:r>
        <w:rPr>
          <w:rFonts w:ascii="Arial" w:cs="Arial" w:eastAsia="Arial" w:hAnsi="Arial"/>
          <w:b/>
          <w:bCs/>
          <w:i w:val="false"/>
          <w:iCs w:val="false"/>
          <w:caps w:val="false"/>
          <w:color w:val="1F3864"/>
          <w:sz w:val="26"/>
          <w:szCs w:val="26"/>
        </w:rPr>
        <w:t xml:space="preserve">Section 3.11 — SPC 101: Oral Communication</w:t>
      </w:r>
    </w:p>
    <w:p>
      <w:pPr>
        <w:pBdr>
          <w:bottom w:val="single" w:color="2E75B6" w:sz="8" w:space="1"/>
        </w:pBdr>
        <w:spacing w:after="1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560"/>
        <w:gridCol w:w="1000"/>
      </w:tblGrid>
      <w:tr>
        <w:tc>
          <w:tcPr>
            <w:tcW w:type="dxa" w:w="1800"/>
            <w:tcBorders>
              <w:top w:val="single" w:color="1F6B75" w:sz="4"/>
              <w:left w:val="single" w:color="1F6B75" w:sz="4"/>
              <w:bottom w:val="single" w:color="1F6B75" w:sz="4"/>
              <w:right w:val="single" w:color="1F6B75" w:sz="4"/>
            </w:tcBorders>
            <w:shd w:fill="1F6B75"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SPC 101</w:t>
            </w:r>
          </w:p>
        </w:tc>
        <w:tc>
          <w:tcPr>
            <w:tcW w:type="dxa" w:w="65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Oral Communication</w:t>
            </w:r>
          </w:p>
        </w:tc>
        <w:tc>
          <w:tcPr>
            <w:tcW w:type="dxa" w:w="1000"/>
            <w:tcBorders>
              <w:top w:val="single" w:color="2E75B6" w:sz="4"/>
              <w:left w:val="single" w:color="2E75B6" w:sz="4"/>
              <w:bottom w:val="single" w:color="2E75B6" w:sz="4"/>
              <w:right w:val="single" w:color="2E75B6" w:sz="4"/>
            </w:tcBorders>
            <w:shd w:fill="2E75B6"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3 Credits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Catalog Description</w:t>
            </w:r>
          </w:p>
        </w:tc>
        <w:tc>
          <w:tcPr>
            <w:tcW w:type="dxa" w:w="75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Principles and practice of effective oral communication: speech preparation and delivery, informative and persuasive speaking, audience analysis, nonverbal communication, listening, and interpersonal and small-group communication. Oral Communication (OC) designated.</w:t>
            </w:r>
          </w:p>
        </w:tc>
      </w:tr>
      <w:tr>
        <w:tc>
          <w:tcPr>
            <w:tcW w:type="dxa" w:w="18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FFFFFF"/>
                <w:sz w:val="18"/>
                <w:szCs w:val="18"/>
              </w:rPr>
              <w:t xml:space="preserve">My PLA Basis</w:t>
            </w:r>
          </w:p>
        </w:tc>
        <w:tc>
          <w:tcPr>
            <w:tcW w:type="dxa" w:w="75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My oral communication experience spans two of the most demanding communication environments that exist: active courtrooms and large-group community leadership. I have presented arguments in court hearings before judges in Delaware County CCP, navigated adversarial cross-examination and examination contexts, and spoken in formal legal proceedings. My two AmeriCorps NCCC terms required daily team leadership communication, public presentations to community stakeholders, and documented public communication work — including being named by a reporter in a published news article about my AmeriCorps service.</w:t>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3.11.1 — Learning Outcomes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200"/>
        <w:gridCol w:w="2800"/>
      </w:tblGrid>
      <w:tr>
        <w:trPr>
          <w:tblHeader/>
        </w:trPr>
        <w:tc>
          <w:tcPr>
            <w:tcW w:type="dxa" w:w="33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Learning Outcome (DCCC Catalog)</w:t>
            </w:r>
          </w:p>
        </w:tc>
        <w:tc>
          <w:tcPr>
            <w:tcW w:type="dxa" w:w="32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My Demonstrated Competency / Experience</w:t>
            </w:r>
          </w:p>
        </w:tc>
        <w:tc>
          <w:tcPr>
            <w:tcW w:type="dxa" w:w="28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Supporting Documentation</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1: </w:t>
            </w:r>
            <w:r>
              <w:rPr>
                <w:rFonts w:ascii="Arial" w:cs="Arial" w:eastAsia="Arial" w:hAnsi="Arial"/>
                <w:b w:val="false"/>
                <w:bCs w:val="false"/>
                <w:i w:val="false"/>
                <w:iCs w:val="false"/>
                <w:caps w:val="false"/>
                <w:color w:val="333333"/>
                <w:sz w:val="18"/>
                <w:szCs w:val="18"/>
              </w:rPr>
              <w:t xml:space="preserve">Prepare and deliver organized, purposeful oral presentations.</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Court hearings require exactly this skill: I must prepare arguments in advance, organize them logically, deliver them clearly under pressure, and adapt to the judge's questions in real time. I have appeared in court hearings in Delaware County Court of Common Pleas and navigated formal adversarial proceedings. I also delivered presentations and briefings during my AmeriCorps service at community partner sites.</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Court hearing appearances — Delaware County CCP; AmeriCorps community stakeholder presentations; team briefings to project sponsor organizations</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2: </w:t>
            </w:r>
            <w:r>
              <w:rPr>
                <w:rFonts w:ascii="Arial" w:cs="Arial" w:eastAsia="Arial" w:hAnsi="Arial"/>
                <w:b w:val="false"/>
                <w:bCs w:val="false"/>
                <w:i w:val="false"/>
                <w:iCs w:val="false"/>
                <w:caps w:val="false"/>
                <w:color w:val="333333"/>
                <w:sz w:val="18"/>
                <w:szCs w:val="18"/>
              </w:rPr>
              <w:t xml:space="preserve">Adapt communication to audience, purpose, and context.</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In legal proceedings, audience adaptation is not optional — it is survival. I adjust my communication to the judge's inquiry style, the formality of the proceeding, the presence of opposing parties, and the specific issue before the court. In my AmeriCorps service, I communicated with school administrators, teachers, schoolchildren, community leaders, and team members — each requiring distinct communication approaches.</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Court appearance adaptations to judicial audience; AmeriCorps stakeholder communication across diverse audiences; teacher/student/administrator communication at Sly Park EEC</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3: </w:t>
            </w:r>
            <w:r>
              <w:rPr>
                <w:rFonts w:ascii="Arial" w:cs="Arial" w:eastAsia="Arial" w:hAnsi="Arial"/>
                <w:b w:val="false"/>
                <w:bCs w:val="false"/>
                <w:i w:val="false"/>
                <w:iCs w:val="false"/>
                <w:caps w:val="false"/>
                <w:color w:val="333333"/>
                <w:sz w:val="18"/>
                <w:szCs w:val="18"/>
              </w:rPr>
              <w:t xml:space="preserve">Develop and deliver persuasive arguments orally.</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Oral argument is a persuasive communication form I have practiced in active legal proceedings. Presenting a motion requires articulating a clear position, anticipating and answering the judge's concerns, and maintaining the logical thread of an argument under direct questioning. My AmeriCorps team leader communication also required persuasive oral communication to motivate team members and build community partnerships.</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Motion hearings — oral argument in Delaware County CCP; AmeriCorps team leadership communication; community partnership presentations</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4: </w:t>
            </w:r>
            <w:r>
              <w:rPr>
                <w:rFonts w:ascii="Arial" w:cs="Arial" w:eastAsia="Arial" w:hAnsi="Arial"/>
                <w:b w:val="false"/>
                <w:bCs w:val="false"/>
                <w:i w:val="false"/>
                <w:iCs w:val="false"/>
                <w:caps w:val="false"/>
                <w:color w:val="333333"/>
                <w:sz w:val="18"/>
                <w:szCs w:val="18"/>
              </w:rPr>
              <w:t xml:space="preserve">Apply effective listening and interpersonal communication skills.</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Active listening is essential in court: I must track the judge's questions, the opposing party's statements, and witnesses' testimony simultaneously, while maintaining my own argument's coherence. In my AmeriCorps service, effective listening and interpersonal communication were daily requirements in team dynamics, community engagement, and service delivery.</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Court hearing participation requiring active listening; AmeriCorps team communication (3,629 documented service hours); community stakeholder engagement</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5: </w:t>
            </w:r>
            <w:r>
              <w:rPr>
                <w:rFonts w:ascii="Arial" w:cs="Arial" w:eastAsia="Arial" w:hAnsi="Arial"/>
                <w:b w:val="false"/>
                <w:bCs w:val="false"/>
                <w:i w:val="false"/>
                <w:iCs w:val="false"/>
                <w:caps w:val="false"/>
                <w:color w:val="333333"/>
                <w:sz w:val="18"/>
                <w:szCs w:val="18"/>
              </w:rPr>
              <w:t xml:space="preserve">Communicate effectively in small-group and team settings.</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AmeriCorps NCCC is an inherently team-based service program. For 3,629 hours across two complete federal terms, I communicated daily within a structured team environment: planning projects, resolving conflicts, coordinating with community partners, and ensuring effective service delivery. A news article in the Mountain Democrat specifically documented my work as part of the AmeriCorps NCCC team at Sly Park — naming me as a team member who took initiative in organizing students.</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AmeriCorps NCCC team communication — Atlantic (1,746 hrs) and Pacific (1,883 hrs); 'Helping Hands Come to Sly Park,' Mountain Democrat, Feb. 2, 2013 (names Alexa Rossini as team member and documents team leadership role)</w:t>
            </w:r>
          </w:p>
        </w:tc>
      </w:tr>
    </w:tbl>
    <w:p>
      <w:pPr>
        <w:spacing w:after="120" w:before="0"/>
      </w:pPr>
    </w:p>
    <w:p>
      <w:pPr>
        <w:pStyle w:val="Heading3"/>
        <w:spacing w:after="120" w:before="220"/>
      </w:pPr>
      <w:r>
        <w:rPr>
          <w:rFonts w:ascii="Arial" w:cs="Arial" w:eastAsia="Arial" w:hAnsi="Arial"/>
          <w:b/>
          <w:bCs/>
          <w:i w:val="false"/>
          <w:iCs w:val="false"/>
          <w:caps w:val="false"/>
          <w:color w:val="2E75B6"/>
          <w:sz w:val="22"/>
          <w:szCs w:val="22"/>
        </w:rPr>
        <w:t xml:space="preserve">3.11.2 — My Competency Narrative</w:t>
      </w:r>
    </w:p>
    <w:p>
      <w:pPr>
        <w:spacing w:after="120" w:before="80" w:line="276"/>
        <w:jc w:val="left"/>
      </w:pPr>
      <w:r>
        <w:rPr>
          <w:rFonts w:ascii="Arial" w:cs="Arial" w:eastAsia="Arial" w:hAnsi="Arial"/>
          <w:b w:val="false"/>
          <w:bCs w:val="false"/>
          <w:i w:val="false"/>
          <w:iCs w:val="false"/>
          <w:caps w:val="false"/>
          <w:color w:val="333333"/>
          <w:sz w:val="20"/>
          <w:szCs w:val="20"/>
        </w:rPr>
        <w:t xml:space="preserve">The two most demanding oral communication environments I know are a courtroom and an AmeriCorps NCCC team project — and I have extensive experience in both.</w:t>
      </w:r>
    </w:p>
    <w:p>
      <w:pPr>
        <w:spacing w:after="120" w:before="80" w:line="276"/>
        <w:jc w:val="left"/>
      </w:pPr>
      <w:r>
        <w:rPr>
          <w:rFonts w:ascii="Arial" w:cs="Arial" w:eastAsia="Arial" w:hAnsi="Arial"/>
          <w:b w:val="false"/>
          <w:bCs w:val="false"/>
          <w:i w:val="false"/>
          <w:iCs w:val="false"/>
          <w:caps w:val="false"/>
          <w:color w:val="333333"/>
          <w:sz w:val="20"/>
          <w:szCs w:val="20"/>
        </w:rPr>
        <w:t xml:space="preserve">Court hearings test every SPC 101 competency simultaneously. I must prepare a structured argument in advance, deliver it clearly to a formal audience (the judge), adapt to questions and objections in real time, listen actively to what opposing parties and the court say, and maintain the persuasive thread of my argument under pressure. There is no audience more demanding than a judge who is actively questioning your position and will rule on it immediately. I have appeared in Delaware County Court of Common Pleas in the custody matter and navigated these hearings as a pro se litigant — without the institutional support of an attorney.</w:t>
      </w:r>
    </w:p>
    <w:p>
      <w:pPr>
        <w:spacing w:after="120" w:before="80" w:line="276"/>
        <w:jc w:val="left"/>
      </w:pPr>
      <w:r>
        <w:rPr>
          <w:rFonts w:ascii="Arial" w:cs="Arial" w:eastAsia="Arial" w:hAnsi="Arial"/>
          <w:b w:val="false"/>
          <w:bCs w:val="false"/>
          <w:i w:val="false"/>
          <w:iCs w:val="false"/>
          <w:caps w:val="false"/>
          <w:color w:val="333333"/>
          <w:sz w:val="20"/>
          <w:szCs w:val="20"/>
        </w:rPr>
        <w:t xml:space="preserve">My AmeriCorps NCCC service gave me extensive small-group and team communication experience at scale. Over two complete federal terms — 1,746 hours in the Atlantic Region (Baltimore, MD, 02/07/2011–11/17/2011) and 1,883 hours in the Pacific Region (Sacramento, CA, 10/10/2012–07/23/2013) — I communicated daily within team structures, with community partner organizations, and with the public. The Mountain Democrat's February 2, 2013 article, 'Helping Hands Come to Sly Park,' names me specifically and documents my communication with students on nature hikes at Sly Park Environmental Education Center — working with school-age children in an outdoor educational setting requires clear, engaging, audience-appropriate oral communication.</w:t>
      </w:r>
    </w:p>
    <w:p>
      <w:pPr>
        <w:spacing w:after="120" w:before="80" w:line="276"/>
        <w:jc w:val="left"/>
      </w:pPr>
      <w:r>
        <w:rPr>
          <w:rFonts w:ascii="Arial" w:cs="Arial" w:eastAsia="Arial" w:hAnsi="Arial"/>
          <w:b w:val="false"/>
          <w:bCs w:val="false"/>
          <w:i w:val="false"/>
          <w:iCs w:val="false"/>
          <w:caps w:val="false"/>
          <w:color w:val="333333"/>
          <w:sz w:val="20"/>
          <w:szCs w:val="20"/>
        </w:rPr>
        <w:t xml:space="preserve">The article's description is worth quoting in the context of oral communication: 'Alexa Rossini, another NCCC team member, ducks into a classroom to pull out ponchos and rain gear for students to wear on an hour-and-a-half-long hike.' This documents the kind of real-time responsive communication and leadership that AmeriCorps NCCC requires — not a prepared speech, but adaptive, situational communication in service of a community goal. This is the core competency SPC 101 develops.</w:t>
      </w:r>
    </w:p>
    <w:p>
      <w:pPr>
        <w:spacing w:after="120" w:before="0"/>
      </w:pPr>
    </w:p>
    <w:p>
      <w:pPr>
        <w:pStyle w:val="Heading3"/>
        <w:spacing w:after="120" w:before="220"/>
      </w:pPr>
      <w:r>
        <w:rPr>
          <w:rFonts w:ascii="Arial" w:cs="Arial" w:eastAsia="Arial" w:hAnsi="Arial"/>
          <w:b/>
          <w:bCs/>
          <w:i w:val="false"/>
          <w:iCs w:val="false"/>
          <w:caps w:val="false"/>
          <w:color w:val="2E75B6"/>
          <w:sz w:val="22"/>
          <w:szCs w:val="22"/>
        </w:rPr>
        <w:t xml:space="preserve">3.11.3 — Evidence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400"/>
        <w:gridCol w:w="3460"/>
      </w:tblGrid>
      <w:tr>
        <w:trPr>
          <w:tblHeader/>
        </w:trPr>
        <w:tc>
          <w:tcPr>
            <w:tcW w:type="dxa" w:w="29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Document / Record</w:t>
            </w:r>
          </w:p>
        </w:tc>
        <w:tc>
          <w:tcPr>
            <w:tcW w:type="dxa" w:w="16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Type</w:t>
            </w:r>
          </w:p>
        </w:tc>
        <w:tc>
          <w:tcPr>
            <w:tcW w:type="dxa" w:w="14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Date / Period</w:t>
            </w:r>
          </w:p>
        </w:tc>
        <w:tc>
          <w:tcPr>
            <w:tcW w:type="dxa" w:w="34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Course Relevance</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Court Hearing Appearances — Delaware County Court of Common Pleas</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Legal Proceedings Record</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2020–Present</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2, 3, 4: Formal oral argument; audience adaptation; persuasive communication under judicial questioning; active listening</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AmeriCorps NCCC Pacific Region Service Letter — Sacramento CA</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Official Federal Service Letter</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10/10/2012–07/23/2013</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2, 4, 5: 1,883 hours team communication; community partner stakeholder presentations; environmental education delivery at Sly Park EEC</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AmeriCorps NCCC Atlantic Region Service Letter — Baltimore MD</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Official Federal Service Letter</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02/07/2011–11/17/2011</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4, 5: 1,746 hours team communication; small-group leadership; interpersonal communication in service context</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'Helping Hands Come to Sly Park' — Mountain Democrat, Feb. 2, 2013</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Published News Article (Third-Party Documentation)</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February 2, 2013</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2, 5: Published documentation naming Alexa Rossini as NCCC team member; oral communication with students on nature hike; team leadership role documented by reporter Wendy Schultz</w:t>
            </w:r>
          </w:p>
        </w:tc>
      </w:tr>
    </w:tbl>
    <w:p>
      <w:pPr>
        <w:spacing w:after="100" w:before="0"/>
      </w:pPr>
    </w:p>
    <w:p>
      <w:pPr>
        <w:pStyle w:val="Heading3"/>
        <w:spacing w:after="120" w:before="220"/>
      </w:pPr>
      <w:r>
        <w:rPr>
          <w:rFonts w:ascii="Arial" w:cs="Arial" w:eastAsia="Arial" w:hAnsi="Arial"/>
          <w:b/>
          <w:bCs/>
          <w:i w:val="false"/>
          <w:iCs w:val="false"/>
          <w:caps w:val="false"/>
          <w:color w:val="2E75B6"/>
          <w:sz w:val="22"/>
          <w:szCs w:val="22"/>
        </w:rPr>
        <w:t xml:space="preserve">3.11.4 — Rubric Self-Assessment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60"/>
        <w:gridCol w:w="1580"/>
        <w:gridCol w:w="1580"/>
        <w:gridCol w:w="1580"/>
        <w:gridCol w:w="1580"/>
        <w:gridCol w:w="1580"/>
      </w:tblGrid>
      <w:tr>
        <w:tc>
          <w:tcPr>
            <w:tcW w:type="dxa" w:w="1460"/>
            <w:tcBorders>
              <w:top w:val="single" w:color="333333" w:sz="4"/>
              <w:left w:val="single" w:color="333333" w:sz="4"/>
              <w:bottom w:val="single" w:color="333333" w:sz="4"/>
              <w:right w:val="single" w:color="333333" w:sz="4"/>
            </w:tcBorders>
            <w:shd w:fill="333333"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Criterion</w:t>
            </w:r>
          </w:p>
        </w:tc>
        <w:tc>
          <w:tcPr>
            <w:tcW w:type="dxa" w:w="1580"/>
            <w:tcBorders>
              <w:top w:val="thick" w:color="375623" w:sz="16"/>
              <w:left w:val="thick" w:color="375623" w:sz="16"/>
              <w:bottom w:val="thick" w:color="375623" w:sz="16"/>
              <w:right w:val="thick" w:color="375623" w:sz="16"/>
            </w:tcBorders>
            <w:shd w:fill="E2EFDA" w:val="clear"/>
            <w:tcMar>
              <w:top w:type="dxa" w:w="100"/>
              <w:left w:type="dxa" w:w="80"/>
              <w:bottom w:type="dxa" w:w="100"/>
              <w:right w:type="dxa" w:w="80"/>
            </w:tcMar>
            <w:vAlign w:val="center"/>
          </w:tcPr>
          <w:p>
            <w:pPr>
              <w:jc w:val="center"/>
            </w:pPr>
            <w:r>
              <w:rPr>
                <w:rFonts w:ascii="Arial" w:cs="Arial" w:eastAsia="Arial" w:hAnsi="Arial"/>
                <w:b/>
                <w:bCs/>
                <w:i w:val="false"/>
                <w:iCs w:val="false"/>
                <w:caps w:val="false"/>
                <w:color w:val="375623"/>
                <w:sz w:val="16"/>
                <w:szCs w:val="16"/>
              </w:rPr>
              <w:t xml:space="preserve">EXEMPLARY  ✓ Claimed</w:t>
            </w:r>
          </w:p>
        </w:tc>
        <w:tc>
          <w:tcPr>
            <w:tcW w:type="dxa" w:w="1580"/>
            <w:tcBorders>
              <w:top w:val="single" w:color="1F3864" w:sz="4"/>
              <w:left w:val="single" w:color="1F3864" w:sz="4"/>
              <w:bottom w:val="single" w:color="1F3864" w:sz="4"/>
              <w:right w:val="single" w:color="1F3864" w:sz="4"/>
            </w:tcBorders>
            <w:shd w:fill="DEEAF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1F3864"/>
                <w:sz w:val="16"/>
                <w:szCs w:val="16"/>
              </w:rPr>
              <w:t xml:space="preserve">PROFICIENT</w:t>
            </w:r>
          </w:p>
        </w:tc>
        <w:tc>
          <w:tcPr>
            <w:tcW w:type="dxa" w:w="1580"/>
            <w:tcBorders>
              <w:top w:val="single" w:color="7F6000" w:sz="4"/>
              <w:left w:val="single" w:color="7F6000" w:sz="4"/>
              <w:bottom w:val="single" w:color="7F6000" w:sz="4"/>
              <w:right w:val="single" w:color="7F6000" w:sz="4"/>
            </w:tcBorders>
            <w:shd w:fill="FFF2CC"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F6000"/>
                <w:sz w:val="16"/>
                <w:szCs w:val="16"/>
              </w:rPr>
              <w:t xml:space="preserve">COMPETENT</w:t>
            </w:r>
          </w:p>
        </w:tc>
        <w:tc>
          <w:tcPr>
            <w:tcW w:type="dxa" w:w="1580"/>
            <w:tcBorders>
              <w:top w:val="single" w:color="843C0C" w:sz="4"/>
              <w:left w:val="single" w:color="843C0C" w:sz="4"/>
              <w:bottom w:val="single" w:color="843C0C" w:sz="4"/>
              <w:right w:val="single" w:color="843C0C" w:sz="4"/>
            </w:tcBorders>
            <w:shd w:fill="FCE4D6"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843C0C"/>
                <w:sz w:val="16"/>
                <w:szCs w:val="16"/>
              </w:rPr>
              <w:t xml:space="preserve">DEVELOPING</w:t>
            </w:r>
          </w:p>
        </w:tc>
        <w:tc>
          <w:tcPr>
            <w:tcW w:type="dxa" w:w="1580"/>
            <w:tcBorders>
              <w:top w:val="single" w:color="7B0000" w:sz="4"/>
              <w:left w:val="single" w:color="7B0000" w:sz="4"/>
              <w:bottom w:val="single" w:color="7B0000" w:sz="4"/>
              <w:right w:val="single" w:color="7B0000" w:sz="4"/>
            </w:tcBorders>
            <w:shd w:fill="FFDFD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B0000"/>
                <w:sz w:val="16"/>
                <w:szCs w:val="16"/>
              </w:rPr>
              <w:t xml:space="preserve">INSUFFICIENT</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Level Description</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Exceeds all learning outcomes; independent mastery; could serve as a teaching example</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all learning outcomes with minimal guidance; demonstrates understanding and application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most learning outcomes; demonstrates adequate understanding with some gaps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some learning outcomes; demonstrates basic awareness but significant gaps remain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Fails to meet most learning outcomes; insufficient evidence of prior learning</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Presentation Preparation and Delivery</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prepare and deliver structured oral arguments in active court proceedings before judges — the highest-stakes formal oral communication context that exists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Audience Adaptation and Persuasion</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Court hearings require real-time audience adaptation and persuasion under direct questioning; AmeriCorps service required communication with diverse audiences from judges to schoolchildren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Team and Interpersonal Communication</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3,629 AmeriCorps hours across two complete federal terms demonstrate sustained small-group and interpersonal communication competency; documented in official federal service letters and published news coverage</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Listening and Responsiveness</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Active listening in court hearings and adaptive communication in AmeriCorps team service both required and developed the listening competencies SPC 101 targets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60"/>
              <w:left w:type="dxa" w:w="280"/>
              <w:bottom w:type="dxa" w:w="160"/>
              <w:right w:type="dxa" w:w="280"/>
            </w:tcMar>
          </w:tcPr>
          <w:p>
            <w:pPr>
              <w:jc w:val="center"/>
            </w:pPr>
            <w:r>
              <w:rPr>
                <w:rFonts w:ascii="Arial" w:cs="Arial" w:eastAsia="Arial" w:hAnsi="Arial"/>
                <w:b/>
                <w:bCs/>
                <w:i w:val="false"/>
                <w:iCs w:val="false"/>
                <w:caps/>
                <w:color w:val="FFFFFF"/>
                <w:sz w:val="24"/>
                <w:szCs w:val="24"/>
              </w:rPr>
              <w:t xml:space="preserve">Technology in the Law / Information Technology — TC CALG Requirement</w:t>
            </w:r>
          </w:p>
        </w:tc>
      </w:tr>
    </w:tbl>
    <w:p>
      <w:pPr>
        <w:spacing w:after="200" w:before="0"/>
      </w:pPr>
    </w:p>
    <w:p>
      <w:pPr>
        <w:pStyle w:val="Heading2"/>
        <w:spacing w:after="120" w:before="220"/>
      </w:pPr>
      <w:r>
        <w:rPr>
          <w:rFonts w:ascii="Arial" w:cs="Arial" w:eastAsia="Arial" w:hAnsi="Arial"/>
          <w:b/>
          <w:bCs/>
          <w:i w:val="false"/>
          <w:iCs w:val="false"/>
          <w:caps w:val="false"/>
          <w:color w:val="1F3864"/>
          <w:sz w:val="26"/>
          <w:szCs w:val="26"/>
        </w:rPr>
        <w:t xml:space="preserve">Section 3.12 — LGL 130 / CIS: Technology in the Law &amp; Information Technology</w:t>
      </w:r>
    </w:p>
    <w:p>
      <w:pPr>
        <w:pBdr>
          <w:bottom w:val="single" w:color="2E75B6" w:sz="8" w:space="1"/>
        </w:pBdr>
        <w:spacing w:after="1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560"/>
        <w:gridCol w:w="1000"/>
      </w:tblGrid>
      <w:tr>
        <w:tc>
          <w:tcPr>
            <w:tcW w:type="dxa" w:w="1800"/>
            <w:tcBorders>
              <w:top w:val="single" w:color="1F6B75" w:sz="4"/>
              <w:left w:val="single" w:color="1F6B75" w:sz="4"/>
              <w:bottom w:val="single" w:color="1F6B75" w:sz="4"/>
              <w:right w:val="single" w:color="1F6B75" w:sz="4"/>
            </w:tcBorders>
            <w:shd w:fill="1F6B75"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LGL 130 / CIS (TC)</w:t>
            </w:r>
          </w:p>
        </w:tc>
        <w:tc>
          <w:tcPr>
            <w:tcW w:type="dxa" w:w="65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Technology in the Law and Information Technology</w:t>
            </w:r>
          </w:p>
        </w:tc>
        <w:tc>
          <w:tcPr>
            <w:tcW w:type="dxa" w:w="1000"/>
            <w:tcBorders>
              <w:top w:val="single" w:color="2E75B6" w:sz="4"/>
              <w:left w:val="single" w:color="2E75B6" w:sz="4"/>
              <w:bottom w:val="single" w:color="2E75B6" w:sz="4"/>
              <w:right w:val="single" w:color="2E75B6" w:sz="4"/>
            </w:tcBorders>
            <w:shd w:fill="2E75B6"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3 Credits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Catalog Description</w:t>
            </w:r>
          </w:p>
        </w:tc>
        <w:tc>
          <w:tcPr>
            <w:tcW w:type="dxa" w:w="75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Application of technology in legal and professional environments: computer hardware and software, information systems, cybersecurity fundamentals, legal research databases, document management, and technology's role in the legal profession. Technology Competency (TC) designated, satisfies CALG major requirement.</w:t>
            </w:r>
          </w:p>
        </w:tc>
      </w:tr>
      <w:tr>
        <w:tc>
          <w:tcPr>
            <w:tcW w:type="dxa" w:w="18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FFFFFF"/>
                <w:sz w:val="18"/>
                <w:szCs w:val="18"/>
              </w:rPr>
              <w:t xml:space="preserve">My PLA Basis</w:t>
            </w:r>
          </w:p>
        </w:tc>
        <w:tc>
          <w:tcPr>
            <w:tcW w:type="dxa" w:w="75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My technology background is deep and multi-domain. I custom-built my own PC from component selection through BIOS configuration. I hold the Google Cybersecurity Certificate (Google/Coursera) covering network security, threat analysis, SIEM tools, and the NIST Cybersecurity Framework. I am actively developing Legalitize — a full-stack legal technology platform using modern web frameworks, databases, and AI integration. I conduct professional legal research using Westlaw, LexisNexis, Google Scholar, and federal government databases. I manage technology in my legal practice at a level that far exceeds what LGL 130 covers.</w:t>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3.12.1 — Learning Outcomes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200"/>
        <w:gridCol w:w="2800"/>
      </w:tblGrid>
      <w:tr>
        <w:trPr>
          <w:tblHeader/>
        </w:trPr>
        <w:tc>
          <w:tcPr>
            <w:tcW w:type="dxa" w:w="33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Learning Outcome (DCCC Catalog)</w:t>
            </w:r>
          </w:p>
        </w:tc>
        <w:tc>
          <w:tcPr>
            <w:tcW w:type="dxa" w:w="32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My Demonstrated Competency / Experience</w:t>
            </w:r>
          </w:p>
        </w:tc>
        <w:tc>
          <w:tcPr>
            <w:tcW w:type="dxa" w:w="28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Supporting Documentation</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1: </w:t>
            </w:r>
            <w:r>
              <w:rPr>
                <w:rFonts w:ascii="Arial" w:cs="Arial" w:eastAsia="Arial" w:hAnsi="Arial"/>
                <w:b w:val="false"/>
                <w:bCs w:val="false"/>
                <w:i w:val="false"/>
                <w:iCs w:val="false"/>
                <w:caps w:val="false"/>
                <w:color w:val="333333"/>
                <w:sz w:val="18"/>
                <w:szCs w:val="18"/>
              </w:rPr>
              <w:t xml:space="preserve">Demonstrate proficiency with computer hardware and software systems.</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built my own PC from the ground up: ASUS ROG Strix X870-A Gaming WiFi 7 motherboard, AMD Ryzen 9 9950X CPU, MSI GeForce Ventus 3X RTX 5090 GPU (32GB VRAM), 64GB DDR5 RAM at 6000MHz, Lian Li AIO LConnect3 LCD liquid cooler, 2TB NVMe PCIe 4.0 SSD array (1TB×2), and 2TB SATA storage dedicated to Ollama and AI workloads — assembled, BIOS-configured, and deployed. On the software side, I run a dual-boot configuration: Windows 11 Pro and Linux Ubuntu Budgie 26.10, with development environments (VS Code, Git), legal research platforms, and local AI inference (Ollama) running on the Linux partition.</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Custom PC build — full component spec with photographic documentation; dual-boot Windows 11 Pro + Linux Ubuntu Budgie 26.10; BIOS/UEFI configuration; Ollama AI on dedicated SATA storage</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2: </w:t>
            </w:r>
            <w:r>
              <w:rPr>
                <w:rFonts w:ascii="Arial" w:cs="Arial" w:eastAsia="Arial" w:hAnsi="Arial"/>
                <w:b w:val="false"/>
                <w:bCs w:val="false"/>
                <w:i w:val="false"/>
                <w:iCs w:val="false"/>
                <w:caps w:val="false"/>
                <w:color w:val="333333"/>
                <w:sz w:val="18"/>
                <w:szCs w:val="18"/>
              </w:rPr>
              <w:t xml:space="preserve">Identify and apply cybersecurity fundamentals.</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hold the Google Cybersecurity Certificate (Google/Coursera). This professional certification covers network security, security incident response, threat analysis, SIEM tools (Splunk, Chronicle), Linux command-line security operations, SQL for security analysis, Python automation for security tasks, and the NIST Cybersecurity Framework. This is not an introductory survey — it is a professional certification designed for entry-level cybersecurity roles.</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Google Cybersecurity Certificate (Google/Coursera); NIST CSF framework analysis; network security coursework; SIEM tool proficiency; security automation with Python</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3: </w:t>
            </w:r>
            <w:r>
              <w:rPr>
                <w:rFonts w:ascii="Arial" w:cs="Arial" w:eastAsia="Arial" w:hAnsi="Arial"/>
                <w:b w:val="false"/>
                <w:bCs w:val="false"/>
                <w:i w:val="false"/>
                <w:iCs w:val="false"/>
                <w:caps w:val="false"/>
                <w:color w:val="333333"/>
                <w:sz w:val="18"/>
                <w:szCs w:val="18"/>
              </w:rPr>
              <w:t xml:space="preserve">Use technology effectively in legal research and document management.</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conduct all of my legal research using digital tools: Westlaw (case law, statutes, secondary sources), LexisNexis, Google Scholar (federal and state case law), CourtListener (PACER-accessible federal records), Justia, PA Unified Judicial System Web Portal, and federal government databases (regulations.gov, federalregister.gov, ecf.pacer.gov). I manage my entire legal document library digitally, with organized file structures, version control, and cross-referenced document sets.</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Westlaw and LexisNexis legal research; CourtListener federal case access; PACER/ECF federal court filing; PA UJS portal navigation; organized digital legal document management system</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4: </w:t>
            </w:r>
            <w:r>
              <w:rPr>
                <w:rFonts w:ascii="Arial" w:cs="Arial" w:eastAsia="Arial" w:hAnsi="Arial"/>
                <w:b w:val="false"/>
                <w:bCs w:val="false"/>
                <w:i w:val="false"/>
                <w:iCs w:val="false"/>
                <w:caps w:val="false"/>
                <w:color w:val="333333"/>
                <w:sz w:val="18"/>
                <w:szCs w:val="18"/>
              </w:rPr>
              <w:t xml:space="preserve">Understand information systems and data management principles.</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Developing Legalitize required me to design and build an information system: database schema design, API architecture, user data management, and information workflow design. I understand relational database principles, RESTful API design, and the information architecture of modern web applications. This is systems-level technology knowledge applied to a production legal technology platform.</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Legalitize platform architecture — database schema, API design, information workflow; software development documentation; full-stack web application development</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5: </w:t>
            </w:r>
            <w:r>
              <w:rPr>
                <w:rFonts w:ascii="Arial" w:cs="Arial" w:eastAsia="Arial" w:hAnsi="Arial"/>
                <w:b w:val="false"/>
                <w:bCs w:val="false"/>
                <w:i w:val="false"/>
                <w:iCs w:val="false"/>
                <w:caps w:val="false"/>
                <w:color w:val="333333"/>
                <w:sz w:val="18"/>
                <w:szCs w:val="18"/>
              </w:rPr>
              <w:t xml:space="preserve">Apply technology ethically and professionally in legal contexts.</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Legal technology ethics is an active area of professional responsibility. I have researched the ethical constraints on legal technology: unauthorized practice of law prohibitions, competency requirements for attorney technology use (ABA Model Rule 1.1, Comment 8), confidentiality obligations for legal data (Pa.R.P.C. 1.6), and the specific requirements for AI-assisted legal tools. This ethical framework is integrated into Legalitize's design.</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ABA Rule 1.1 technology competency research; Pa.R.P.C. 1.6 confidentiality in legal technology; AI legal tool ethics research; UPL analysis in Legalitize design</w:t>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3.12.2 — My Competency Narrative</w:t>
      </w:r>
    </w:p>
    <w:p>
      <w:pPr>
        <w:spacing w:after="120" w:before="80" w:line="276"/>
        <w:jc w:val="left"/>
      </w:pPr>
      <w:r>
        <w:rPr>
          <w:rFonts w:ascii="Arial" w:cs="Arial" w:eastAsia="Arial" w:hAnsi="Arial"/>
          <w:b w:val="false"/>
          <w:bCs w:val="false"/>
          <w:i w:val="false"/>
          <w:iCs w:val="false"/>
          <w:caps w:val="false"/>
          <w:color w:val="333333"/>
          <w:sz w:val="20"/>
          <w:szCs w:val="20"/>
        </w:rPr>
        <w:t xml:space="preserve">I built a computer. Not metaphorically — I selected and sourced every component: ASUS ROG Strix X870-A Gaming WiFi 7 motherboard, AMD Ryzen 9 9950X processor (16 cores, 32 threads), MSI GeForce Ventus 3X RTX 5090 GPU with 32GB GDDR7 VRAM, 64GB DDR5 RAM running at 6000MHz (four 16GB sticks), Lian Li AIO LConnect3 LCD liquid cooler with a built-in LCD panel for real-time thermal telemetry, Lian Li Uni Fan ARGB case fans, dual 34-inch 4K monitors stacked vertically in an all-white setup, 2TB of NVMe PCIe 4.0 SSD storage (1TB×2) for primary OS and development workloads, and a separate 2TB SATA drive array (1TB×2) dedicated to AI model storage and Ollama inference. The entire system runs a dual-boot configuration: Windows 11 Pro as my primary development and legal work environment, and Linux Ubuntu Budgie 26.10 as my AI/ML and command-line security operations environment. This is not a consumer-assembled machine — it is a professional workstation I designed, sourced, assembled, BIOS-configured, and deployed. Building a PC teaches how computers actually work — component compatibility, power delivery, PCIe lane allocation, thermal design, and the boot sequence — in a way that no classroom exercise can replicate.</w:t>
      </w:r>
    </w:p>
    <w:p>
      <w:pPr>
        <w:spacing w:after="120" w:before="80" w:line="276"/>
        <w:jc w:val="left"/>
      </w:pPr>
      <w:r>
        <w:rPr>
          <w:rFonts w:ascii="Arial" w:cs="Arial" w:eastAsia="Arial" w:hAnsi="Arial"/>
          <w:b w:val="false"/>
          <w:bCs w:val="false"/>
          <w:i w:val="false"/>
          <w:iCs w:val="false"/>
          <w:caps w:val="false"/>
          <w:color w:val="333333"/>
          <w:sz w:val="20"/>
          <w:szCs w:val="20"/>
        </w:rPr>
        <w:t xml:space="preserve">I hold the Google Cybersecurity Certificate, earned through Google's professional certificate program on Coursera. This certification covers the full scope of entry-level cybersecurity practice: network architecture and security, the eight NIST Cybersecurity Framework functions, threat modeling and vulnerability analysis, security incident detection and response, SIEM tools (Splunk and Google Chronicle), Linux command-line operations for security tasks, SQL-based security data analysis, and Python scripting for security automation. The certificate reflects approximately 170 hours of instruction and hands-on lab work.</w:t>
      </w:r>
    </w:p>
    <w:p>
      <w:pPr>
        <w:spacing w:after="120" w:before="80" w:line="276"/>
        <w:jc w:val="left"/>
      </w:pPr>
      <w:r>
        <w:rPr>
          <w:rFonts w:ascii="Arial" w:cs="Arial" w:eastAsia="Arial" w:hAnsi="Arial"/>
          <w:b w:val="false"/>
          <w:bCs w:val="false"/>
          <w:i w:val="false"/>
          <w:iCs w:val="false"/>
          <w:caps w:val="false"/>
          <w:color w:val="333333"/>
          <w:sz w:val="20"/>
          <w:szCs w:val="20"/>
        </w:rPr>
        <w:t xml:space="preserve">Legalitize is my most advanced demonstration of technology competency in a legal context. I am building a full-stack legal technology platform — a web application that uses modern frontend frameworks, backend APIs, relational database systems, and AI integration to provide legal research and document assistance to pro se litigants and legal practitioners. Every layer of this platform required technology knowledge: the database schema design, the API architecture, the user interface design, the security infrastructure (informed directly by my Google Cybersecurity training), and the AI integration layer.</w:t>
      </w:r>
    </w:p>
    <w:p>
      <w:pPr>
        <w:spacing w:after="120" w:before="80" w:line="276"/>
        <w:jc w:val="left"/>
      </w:pPr>
      <w:r>
        <w:rPr>
          <w:rFonts w:ascii="Arial" w:cs="Arial" w:eastAsia="Arial" w:hAnsi="Arial"/>
          <w:b w:val="false"/>
          <w:bCs w:val="false"/>
          <w:i w:val="false"/>
          <w:iCs w:val="false"/>
          <w:caps w:val="false"/>
          <w:color w:val="333333"/>
          <w:sz w:val="20"/>
          <w:szCs w:val="20"/>
        </w:rPr>
        <w:t xml:space="preserve">My legal research technology skills are professional-grade and have been developed through thousands of hours of active use. I navigate Westlaw and LexisNexis for case law and statutory research, use CourtListener and PACER/ECF for federal court records, access the PA Unified Judicial System portal for state court records, and use government databases for regulatory research. I understand how legal research databases are organized — the difference between key numbers, headnotes, and full-text search; how to Shepardize and KeyCite cases to verify authority; and how to design efficient research workflows that minimize time while maximizing coverage.</w:t>
      </w:r>
    </w:p>
    <w:p>
      <w:pPr>
        <w:spacing w:after="120" w:before="80" w:line="276"/>
        <w:jc w:val="left"/>
      </w:pPr>
      <w:r>
        <w:rPr>
          <w:rFonts w:ascii="Arial" w:cs="Arial" w:eastAsia="Arial" w:hAnsi="Arial"/>
          <w:b w:val="false"/>
          <w:bCs w:val="false"/>
          <w:i w:val="false"/>
          <w:iCs w:val="false"/>
          <w:caps w:val="false"/>
          <w:color w:val="333333"/>
          <w:sz w:val="20"/>
          <w:szCs w:val="20"/>
        </w:rPr>
        <w:t xml:space="preserve">Technology in the law is not a subject I study — it is my practice. I am building the legal technology platform that I wish existed when I started navigating the legal system pro se. That origin story — from frustrated legal technology consumer to legal technology developer — is itself the most compelling evidence of my Technology Competency.</w:t>
      </w:r>
    </w:p>
    <w:p>
      <w:pPr>
        <w:spacing w:after="120" w:before="0"/>
      </w:pPr>
    </w:p>
    <w:p>
      <w:pPr>
        <w:pStyle w:val="Heading3"/>
        <w:spacing w:after="120" w:before="220"/>
      </w:pPr>
      <w:r>
        <w:rPr>
          <w:rFonts w:ascii="Arial" w:cs="Arial" w:eastAsia="Arial" w:hAnsi="Arial"/>
          <w:b/>
          <w:bCs/>
          <w:i w:val="false"/>
          <w:iCs w:val="false"/>
          <w:caps w:val="false"/>
          <w:color w:val="2E75B6"/>
          <w:sz w:val="22"/>
          <w:szCs w:val="22"/>
        </w:rPr>
        <w:t xml:space="preserve">3.12.3 — Evidence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400"/>
        <w:gridCol w:w="3460"/>
      </w:tblGrid>
      <w:tr>
        <w:trPr>
          <w:tblHeader/>
        </w:trPr>
        <w:tc>
          <w:tcPr>
            <w:tcW w:type="dxa" w:w="29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Document / Record</w:t>
            </w:r>
          </w:p>
        </w:tc>
        <w:tc>
          <w:tcPr>
            <w:tcW w:type="dxa" w:w="16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Type</w:t>
            </w:r>
          </w:p>
        </w:tc>
        <w:tc>
          <w:tcPr>
            <w:tcW w:type="dxa" w:w="14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Date / Period</w:t>
            </w:r>
          </w:p>
        </w:tc>
        <w:tc>
          <w:tcPr>
            <w:tcW w:type="dxa" w:w="34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Course Relevance</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Google Cybersecurity Certificate — Google / Coursera</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Professional Certification</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2024–2025</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2, 5: Network security; NIST CSF; SIEM tools (Splunk, Chronicle); Linux/SQL/Python security; ~170 hours professional training</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Custom PC Build — Documented by Photographs (Multiple Photos in Evidence Packet)</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Photographic Documentation of Hardware Build</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2025</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ASUS ROG Strix X870-A Gaming WiFi 7 motherboard; AMD Ryzen 9 9950X CPU (16C/32T); MSI GeForce Ventus 3X RTX 5090 32GB GDDR7; 64GB DDR5 6000MHz (4×16GB); Lian Li AIO LConnect3 LCD liquid cooler; Lian Li Uni Fan ARGB case fans; Lian Li white full-tower case; dual stacked 34" 4K monitors (all white); 2TB NVMe PCIe 4.0 (1TB×2); 2TB SATA HDD (1TB×2, Ollama/AI storage); Dual boot: Windows 11 Pro + Linux Ubuntu Budgie 26.10.</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Legalitize Platform — Full-Stack Legal Technology Development</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Software Development Documentation</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2024–Present</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3, 4, 5: Legal technology platform; database architecture; API design; AI integration; legal ethics framework in technology design</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Legal Research Platform Proficiency — Westlaw, LexisNexis, PACER, CourtListener</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Active Professional Use</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2019–Present</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3: Legal research technology; database navigation; case law retrieval; federal court filing system; PA UJS portal</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Software Development Work Product — Legalitize Codebase and Architecture</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Technical Documentation</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2024–Present</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4: Software development; information systems design; full-stack web architecture; version control (Git)</w:t>
            </w:r>
          </w:p>
        </w:tc>
      </w:tr>
    </w:tbl>
    <w:p>
      <w:pPr>
        <w:spacing w:after="100" w:before="0"/>
      </w:pPr>
    </w:p>
    <w:p>
      <w:pPr>
        <w:pStyle w:val="Heading3"/>
        <w:spacing w:after="120" w:before="220"/>
      </w:pPr>
      <w:r>
        <w:rPr>
          <w:rFonts w:ascii="Arial" w:cs="Arial" w:eastAsia="Arial" w:hAnsi="Arial"/>
          <w:b/>
          <w:bCs/>
          <w:i w:val="false"/>
          <w:iCs w:val="false"/>
          <w:caps w:val="false"/>
          <w:color w:val="2E75B6"/>
          <w:sz w:val="22"/>
          <w:szCs w:val="22"/>
        </w:rPr>
        <w:t xml:space="preserve">3.12.4 — Rubric Self-Assessment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60"/>
        <w:gridCol w:w="1580"/>
        <w:gridCol w:w="1580"/>
        <w:gridCol w:w="1580"/>
        <w:gridCol w:w="1580"/>
        <w:gridCol w:w="1580"/>
      </w:tblGrid>
      <w:tr>
        <w:tc>
          <w:tcPr>
            <w:tcW w:type="dxa" w:w="1460"/>
            <w:tcBorders>
              <w:top w:val="single" w:color="333333" w:sz="4"/>
              <w:left w:val="single" w:color="333333" w:sz="4"/>
              <w:bottom w:val="single" w:color="333333" w:sz="4"/>
              <w:right w:val="single" w:color="333333" w:sz="4"/>
            </w:tcBorders>
            <w:shd w:fill="333333"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Criterion</w:t>
            </w:r>
          </w:p>
        </w:tc>
        <w:tc>
          <w:tcPr>
            <w:tcW w:type="dxa" w:w="1580"/>
            <w:tcBorders>
              <w:top w:val="thick" w:color="375623" w:sz="16"/>
              <w:left w:val="thick" w:color="375623" w:sz="16"/>
              <w:bottom w:val="thick" w:color="375623" w:sz="16"/>
              <w:right w:val="thick" w:color="375623" w:sz="16"/>
            </w:tcBorders>
            <w:shd w:fill="E2EFDA" w:val="clear"/>
            <w:tcMar>
              <w:top w:type="dxa" w:w="100"/>
              <w:left w:type="dxa" w:w="80"/>
              <w:bottom w:type="dxa" w:w="100"/>
              <w:right w:type="dxa" w:w="80"/>
            </w:tcMar>
            <w:vAlign w:val="center"/>
          </w:tcPr>
          <w:p>
            <w:pPr>
              <w:jc w:val="center"/>
            </w:pPr>
            <w:r>
              <w:rPr>
                <w:rFonts w:ascii="Arial" w:cs="Arial" w:eastAsia="Arial" w:hAnsi="Arial"/>
                <w:b/>
                <w:bCs/>
                <w:i w:val="false"/>
                <w:iCs w:val="false"/>
                <w:caps w:val="false"/>
                <w:color w:val="375623"/>
                <w:sz w:val="16"/>
                <w:szCs w:val="16"/>
              </w:rPr>
              <w:t xml:space="preserve">EXEMPLARY  ✓ Claimed</w:t>
            </w:r>
          </w:p>
        </w:tc>
        <w:tc>
          <w:tcPr>
            <w:tcW w:type="dxa" w:w="1580"/>
            <w:tcBorders>
              <w:top w:val="single" w:color="1F3864" w:sz="4"/>
              <w:left w:val="single" w:color="1F3864" w:sz="4"/>
              <w:bottom w:val="single" w:color="1F3864" w:sz="4"/>
              <w:right w:val="single" w:color="1F3864" w:sz="4"/>
            </w:tcBorders>
            <w:shd w:fill="DEEAF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1F3864"/>
                <w:sz w:val="16"/>
                <w:szCs w:val="16"/>
              </w:rPr>
              <w:t xml:space="preserve">PROFICIENT</w:t>
            </w:r>
          </w:p>
        </w:tc>
        <w:tc>
          <w:tcPr>
            <w:tcW w:type="dxa" w:w="1580"/>
            <w:tcBorders>
              <w:top w:val="single" w:color="7F6000" w:sz="4"/>
              <w:left w:val="single" w:color="7F6000" w:sz="4"/>
              <w:bottom w:val="single" w:color="7F6000" w:sz="4"/>
              <w:right w:val="single" w:color="7F6000" w:sz="4"/>
            </w:tcBorders>
            <w:shd w:fill="FFF2CC"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F6000"/>
                <w:sz w:val="16"/>
                <w:szCs w:val="16"/>
              </w:rPr>
              <w:t xml:space="preserve">COMPETENT</w:t>
            </w:r>
          </w:p>
        </w:tc>
        <w:tc>
          <w:tcPr>
            <w:tcW w:type="dxa" w:w="1580"/>
            <w:tcBorders>
              <w:top w:val="single" w:color="843C0C" w:sz="4"/>
              <w:left w:val="single" w:color="843C0C" w:sz="4"/>
              <w:bottom w:val="single" w:color="843C0C" w:sz="4"/>
              <w:right w:val="single" w:color="843C0C" w:sz="4"/>
            </w:tcBorders>
            <w:shd w:fill="FCE4D6"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843C0C"/>
                <w:sz w:val="16"/>
                <w:szCs w:val="16"/>
              </w:rPr>
              <w:t xml:space="preserve">DEVELOPING</w:t>
            </w:r>
          </w:p>
        </w:tc>
        <w:tc>
          <w:tcPr>
            <w:tcW w:type="dxa" w:w="1580"/>
            <w:tcBorders>
              <w:top w:val="single" w:color="7B0000" w:sz="4"/>
              <w:left w:val="single" w:color="7B0000" w:sz="4"/>
              <w:bottom w:val="single" w:color="7B0000" w:sz="4"/>
              <w:right w:val="single" w:color="7B0000" w:sz="4"/>
            </w:tcBorders>
            <w:shd w:fill="FFDFD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B0000"/>
                <w:sz w:val="16"/>
                <w:szCs w:val="16"/>
              </w:rPr>
              <w:t xml:space="preserve">INSUFFICIENT</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Level Description</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Exceeds all learning outcomes; independent mastery; could serve as a teaching example</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all learning outcomes with minimal guidance; demonstrates understanding and application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most learning outcomes; demonstrates adequate understanding with some gaps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some learning outcomes; demonstrates basic awareness but significant gaps remain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Fails to meet most learning outcomes; insufficient evidence of prior learning</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Hardware and Software Proficiency</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built a custom PC from components — demonstrating hardware knowledge at a level far exceeding introductory computer literacy — and develop software professionally as the founder of Legalitize</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Cybersecurity</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hold the Google Cybersecurity Certificate: NIST CSF, SIEM tools, network security, Linux/SQL/Python for security — a professional certification designed for entry-level cybersecurity roles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Legal Research Technology</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use Westlaw, LexisNexis, PACER/ECF, CourtListener, and PA UJS portal as professional legal research tools in active litigation — not as course exercises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Information Systems and Legal Technology Ethics</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Legalitize demonstrates information system design knowledge; I have researched and integrated ABA Rule 1.1, Pa.R.P.C. 1.6, and UPL constraints into the platform's ethical compliance framework</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60"/>
              <w:left w:type="dxa" w:w="280"/>
              <w:bottom w:type="dxa" w:w="160"/>
              <w:right w:type="dxa" w:w="280"/>
            </w:tcMar>
          </w:tcPr>
          <w:p>
            <w:pPr>
              <w:jc w:val="center"/>
            </w:pPr>
            <w:r>
              <w:rPr>
                <w:rFonts w:ascii="Arial" w:cs="Arial" w:eastAsia="Arial" w:hAnsi="Arial"/>
                <w:b/>
                <w:bCs/>
                <w:i w:val="false"/>
                <w:iCs w:val="false"/>
                <w:caps/>
                <w:color w:val="FFFFFF"/>
                <w:sz w:val="24"/>
                <w:szCs w:val="24"/>
              </w:rPr>
              <w:t xml:space="preserve">Part IV: Degree Completion Roadmap — LGL Associates in Arts</w:t>
            </w:r>
          </w:p>
        </w:tc>
      </w:tr>
    </w:tbl>
    <w:p>
      <w:pPr>
        <w:spacing w:after="200" w:before="0"/>
      </w:pPr>
    </w:p>
    <w:p>
      <w:pPr>
        <w:pStyle w:val="Heading2"/>
        <w:spacing w:after="120" w:before="220"/>
      </w:pPr>
      <w:r>
        <w:rPr>
          <w:rFonts w:ascii="Arial" w:cs="Arial" w:eastAsia="Arial" w:hAnsi="Arial"/>
          <w:b/>
          <w:bCs/>
          <w:i w:val="false"/>
          <w:iCs w:val="false"/>
          <w:caps w:val="false"/>
          <w:color w:val="1F3864"/>
          <w:sz w:val="26"/>
          <w:szCs w:val="26"/>
        </w:rPr>
        <w:t xml:space="preserve">Section 4: Degree Completion Plan — DCCC LGL AA (Catalog Year Fall/Winter 2025)</w:t>
      </w:r>
    </w:p>
    <w:p>
      <w:pPr>
        <w:pBdr>
          <w:bottom w:val="single" w:color="2E75B6" w:sz="8" w:space="1"/>
        </w:pBdr>
        <w:spacing w:after="120" w:before="60"/>
      </w:pPr>
    </w:p>
    <w:p>
      <w:pPr>
        <w:spacing w:after="120" w:before="80" w:line="276"/>
        <w:jc w:val="left"/>
      </w:pPr>
      <w:r>
        <w:rPr>
          <w:rFonts w:ascii="Arial" w:cs="Arial" w:eastAsia="Arial" w:hAnsi="Arial"/>
          <w:b w:val="false"/>
          <w:bCs w:val="false"/>
          <w:i w:val="false"/>
          <w:iCs w:val="false"/>
          <w:caps w:val="false"/>
          <w:color w:val="333333"/>
          <w:sz w:val="20"/>
          <w:szCs w:val="20"/>
        </w:rPr>
        <w:t xml:space="preserve">The following roadmap shows how my PLA portfolio credits map to DCCC's 61-credit Associate in Arts in Legal and Paralegal Studies requirements, and identifies the remaining courses I plan to complete at DCCC to fulfill the residency and non-PLA requirements.</w:t>
      </w:r>
    </w:p>
    <w:p>
      <w:pPr>
        <w:spacing w:after="100" w:before="0"/>
      </w:pPr>
    </w:p>
    <w:p>
      <w:pPr>
        <w:pStyle w:val="Heading3"/>
        <w:spacing w:after="120" w:before="220"/>
      </w:pPr>
      <w:r>
        <w:rPr>
          <w:rFonts w:ascii="Arial" w:cs="Arial" w:eastAsia="Arial" w:hAnsi="Arial"/>
          <w:b/>
          <w:bCs/>
          <w:i w:val="false"/>
          <w:iCs w:val="false"/>
          <w:caps w:val="false"/>
          <w:color w:val="2E75B6"/>
          <w:sz w:val="22"/>
          <w:szCs w:val="22"/>
        </w:rPr>
        <w:t xml:space="preserve">4.1 — Total Credit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440"/>
        <w:gridCol w:w="1440"/>
        <w:gridCol w:w="2520"/>
      </w:tblGrid>
      <w:tr>
        <w:tc>
          <w:tcPr>
            <w:tcW w:type="dxa" w:w="39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Category</w:t>
            </w:r>
          </w:p>
        </w:tc>
        <w:tc>
          <w:tcPr>
            <w:tcW w:type="dxa" w:w="144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Credits</w:t>
            </w:r>
          </w:p>
        </w:tc>
        <w:tc>
          <w:tcPr>
            <w:tcW w:type="dxa" w:w="144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Courses</w:t>
            </w:r>
          </w:p>
        </w:tc>
        <w:tc>
          <w:tcPr>
            <w:tcW w:type="dxa" w:w="252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Notes</w:t>
            </w:r>
          </w:p>
        </w:tc>
      </w:tr>
      <w:tr>
        <w:tc>
          <w:tcPr>
            <w:tcW w:type="dxa" w:w="39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LGL Specialty PLA (Max 9 by policy)</w:t>
            </w:r>
          </w:p>
        </w:tc>
        <w:tc>
          <w:tcPr>
            <w:tcW w:type="dxa" w:w="144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9</w:t>
            </w:r>
          </w:p>
        </w:tc>
        <w:tc>
          <w:tcPr>
            <w:tcW w:type="dxa" w:w="144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3</w:t>
            </w:r>
          </w:p>
        </w:tc>
        <w:tc>
          <w:tcPr>
            <w:tcW w:type="dxa" w:w="252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LGL 100, LGL 200, LGL 210</w:t>
            </w:r>
          </w:p>
        </w:tc>
      </w:tr>
      <w:tr>
        <w:tc>
          <w:tcPr>
            <w:tcW w:type="dxa" w:w="39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General Education / Elective PLA</w:t>
            </w:r>
          </w:p>
        </w:tc>
        <w:tc>
          <w:tcPr>
            <w:tcW w:type="dxa" w:w="144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36</w:t>
            </w:r>
          </w:p>
        </w:tc>
        <w:tc>
          <w:tcPr>
            <w:tcW w:type="dxa" w:w="144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12</w:t>
            </w:r>
          </w:p>
        </w:tc>
        <w:tc>
          <w:tcPr>
            <w:tcW w:type="dxa" w:w="252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ENG 100, ENG 112, ADJ 241, ADJ 101, ADJ 225, PHI 100, PSY 100, SOC 101, BUS 100, BUS 104, SPC 101, LGL 130/TC</w:t>
            </w:r>
          </w:p>
        </w:tc>
      </w:tr>
      <w:tr>
        <w:tc>
          <w:tcPr>
            <w:tcW w:type="dxa" w:w="3960"/>
            <w:tcBorders>
              <w:top w:val="single" w:color="CCCCCC" w:sz="4"/>
              <w:left w:val="single" w:color="CCCCCC" w:sz="4"/>
              <w:bottom w:val="single" w:color="CCCCCC" w:sz="4"/>
              <w:right w:val="single" w:color="CCCCCC" w:sz="4"/>
            </w:tcBorders>
            <w:shd w:fill="C9A227"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Total PLA Credits Requested</w:t>
            </w:r>
          </w:p>
        </w:tc>
        <w:tc>
          <w:tcPr>
            <w:tcW w:type="dxa" w:w="1440"/>
            <w:tcBorders>
              <w:top w:val="single" w:color="CCCCCC" w:sz="4"/>
              <w:left w:val="single" w:color="CCCCCC" w:sz="4"/>
              <w:bottom w:val="single" w:color="CCCCCC" w:sz="4"/>
              <w:right w:val="single" w:color="CCCCCC" w:sz="4"/>
            </w:tcBorders>
            <w:shd w:fill="C9A227"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45</w:t>
            </w:r>
          </w:p>
        </w:tc>
        <w:tc>
          <w:tcPr>
            <w:tcW w:type="dxa" w:w="1440"/>
            <w:tcBorders>
              <w:top w:val="single" w:color="CCCCCC" w:sz="4"/>
              <w:left w:val="single" w:color="CCCCCC" w:sz="4"/>
              <w:bottom w:val="single" w:color="CCCCCC" w:sz="4"/>
              <w:right w:val="single" w:color="CCCCCC" w:sz="4"/>
            </w:tcBorders>
            <w:shd w:fill="C9A227"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15</w:t>
            </w:r>
          </w:p>
        </w:tc>
        <w:tc>
          <w:tcPr>
            <w:tcW w:type="dxa" w:w="2520"/>
            <w:tcBorders>
              <w:top w:val="single" w:color="CCCCCC" w:sz="4"/>
              <w:left w:val="single" w:color="CCCCCC" w:sz="4"/>
              <w:bottom w:val="single" w:color="CCCCCC" w:sz="4"/>
              <w:right w:val="single" w:color="CCCCCC" w:sz="4"/>
            </w:tcBorders>
            <w:shd w:fill="C9A227"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
            </w:r>
          </w:p>
        </w:tc>
      </w:tr>
      <w:tr>
        <w:tc>
          <w:tcPr>
            <w:tcW w:type="dxa" w:w="39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Remaining Courses to Complete at DCCC</w:t>
            </w:r>
          </w:p>
        </w:tc>
        <w:tc>
          <w:tcPr>
            <w:tcW w:type="dxa" w:w="144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16+</w:t>
            </w:r>
          </w:p>
        </w:tc>
        <w:tc>
          <w:tcPr>
            <w:tcW w:type="dxa" w:w="144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~6</w:t>
            </w:r>
          </w:p>
        </w:tc>
        <w:tc>
          <w:tcPr>
            <w:tcW w:type="dxa" w:w="252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LGL 110, LGL 120, LGL 140, LGL 211, LGL 199/197, Science SI; meets 24-credit residency minimum</w:t>
            </w:r>
          </w:p>
        </w:tc>
      </w:tr>
      <w:tr>
        <w:tc>
          <w:tcPr>
            <w:tcW w:type="dxa" w:w="396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FFFFFF"/>
                <w:sz w:val="18"/>
                <w:szCs w:val="18"/>
              </w:rPr>
              <w:t xml:space="preserve">Total Degree Credits (61 required)</w:t>
            </w:r>
          </w:p>
        </w:tc>
        <w:tc>
          <w:tcPr>
            <w:tcW w:type="dxa" w:w="144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FFFFFF"/>
                <w:sz w:val="18"/>
                <w:szCs w:val="18"/>
              </w:rPr>
              <w:t xml:space="preserve">61</w:t>
            </w:r>
          </w:p>
        </w:tc>
        <w:tc>
          <w:tcPr>
            <w:tcW w:type="dxa" w:w="144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
            </w:r>
          </w:p>
        </w:tc>
        <w:tc>
          <w:tcPr>
            <w:tcW w:type="dxa" w:w="252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4.2 — PLA Credit to Degree Audit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160"/>
        <w:gridCol w:w="1080"/>
        <w:gridCol w:w="3600"/>
      </w:tblGrid>
      <w:tr>
        <w:tc>
          <w:tcPr>
            <w:tcW w:type="dxa" w:w="252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PLA Course</w:t>
            </w:r>
          </w:p>
        </w:tc>
        <w:tc>
          <w:tcPr>
            <w:tcW w:type="dxa" w:w="21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Degree Requirement Satisfied</w:t>
            </w:r>
          </w:p>
        </w:tc>
        <w:tc>
          <w:tcPr>
            <w:tcW w:type="dxa" w:w="108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Cr</w:t>
            </w:r>
          </w:p>
        </w:tc>
        <w:tc>
          <w:tcPr>
            <w:tcW w:type="dxa" w:w="36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CALG Designation</w:t>
            </w:r>
          </w:p>
        </w:tc>
      </w:tr>
      <w:tr>
        <w:tc>
          <w:tcPr>
            <w:tcW w:type="dxa" w:w="252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LGL 100</w:t>
            </w:r>
          </w:p>
        </w:tc>
        <w:tc>
          <w:tcPr>
            <w:tcW w:type="dxa" w:w="21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Major LGL Requirement</w:t>
            </w:r>
          </w:p>
        </w:tc>
        <w:tc>
          <w:tcPr>
            <w:tcW w:type="dxa" w:w="108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3</w:t>
            </w:r>
          </w:p>
        </w:tc>
        <w:tc>
          <w:tcPr>
            <w:tcW w:type="dxa" w:w="36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LGL Core</w:t>
            </w:r>
          </w:p>
        </w:tc>
      </w:tr>
      <w:tr>
        <w:tc>
          <w:tcPr>
            <w:tcW w:type="dxa" w:w="252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LGL 200</w:t>
            </w:r>
          </w:p>
        </w:tc>
        <w:tc>
          <w:tcPr>
            <w:tcW w:type="dxa" w:w="21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Major LGL Elective</w:t>
            </w:r>
          </w:p>
        </w:tc>
        <w:tc>
          <w:tcPr>
            <w:tcW w:type="dxa" w:w="108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3</w:t>
            </w:r>
          </w:p>
        </w:tc>
        <w:tc>
          <w:tcPr>
            <w:tcW w:type="dxa" w:w="36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LGL Core</w:t>
            </w:r>
          </w:p>
        </w:tc>
      </w:tr>
      <w:tr>
        <w:tc>
          <w:tcPr>
            <w:tcW w:type="dxa" w:w="252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LGL 210</w:t>
            </w:r>
          </w:p>
        </w:tc>
        <w:tc>
          <w:tcPr>
            <w:tcW w:type="dxa" w:w="21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Major LGL Requirement</w:t>
            </w:r>
          </w:p>
        </w:tc>
        <w:tc>
          <w:tcPr>
            <w:tcW w:type="dxa" w:w="108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3</w:t>
            </w:r>
          </w:p>
        </w:tc>
        <w:tc>
          <w:tcPr>
            <w:tcW w:type="dxa" w:w="36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LGL Core</w:t>
            </w:r>
          </w:p>
        </w:tc>
      </w:tr>
      <w:tr>
        <w:tc>
          <w:tcPr>
            <w:tcW w:type="dxa" w:w="252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ENG 100</w:t>
            </w:r>
          </w:p>
        </w:tc>
        <w:tc>
          <w:tcPr>
            <w:tcW w:type="dxa" w:w="21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CALG Gen Ed WC/IL</w:t>
            </w:r>
          </w:p>
        </w:tc>
        <w:tc>
          <w:tcPr>
            <w:tcW w:type="dxa" w:w="108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3</w:t>
            </w:r>
          </w:p>
        </w:tc>
        <w:tc>
          <w:tcPr>
            <w:tcW w:type="dxa" w:w="36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Writing Competency (WC), Information Literacy (IL)</w:t>
            </w:r>
          </w:p>
        </w:tc>
      </w:tr>
      <w:tr>
        <w:tc>
          <w:tcPr>
            <w:tcW w:type="dxa" w:w="252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ENG 112</w:t>
            </w:r>
          </w:p>
        </w:tc>
        <w:tc>
          <w:tcPr>
            <w:tcW w:type="dxa" w:w="21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CALG Gen Ed — Humanities/Writing</w:t>
            </w:r>
          </w:p>
        </w:tc>
        <w:tc>
          <w:tcPr>
            <w:tcW w:type="dxa" w:w="108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3</w:t>
            </w:r>
          </w:p>
        </w:tc>
        <w:tc>
          <w:tcPr>
            <w:tcW w:type="dxa" w:w="36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Advanced Writing / Critical Reasoning</w:t>
            </w:r>
          </w:p>
        </w:tc>
      </w:tr>
      <w:tr>
        <w:tc>
          <w:tcPr>
            <w:tcW w:type="dxa" w:w="252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ADJ 241</w:t>
            </w:r>
          </w:p>
        </w:tc>
        <w:tc>
          <w:tcPr>
            <w:tcW w:type="dxa" w:w="21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CALG Gen Ed DJ; LGL Major ADJ</w:t>
            </w:r>
          </w:p>
        </w:tc>
        <w:tc>
          <w:tcPr>
            <w:tcW w:type="dxa" w:w="108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3</w:t>
            </w:r>
          </w:p>
        </w:tc>
        <w:tc>
          <w:tcPr>
            <w:tcW w:type="dxa" w:w="36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Diversity &amp; Social Justice (DJ)</w:t>
            </w:r>
          </w:p>
        </w:tc>
      </w:tr>
      <w:tr>
        <w:tc>
          <w:tcPr>
            <w:tcW w:type="dxa" w:w="252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ADJ 101</w:t>
            </w:r>
          </w:p>
        </w:tc>
        <w:tc>
          <w:tcPr>
            <w:tcW w:type="dxa" w:w="21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Law &amp; CJ Concentration / Elective</w:t>
            </w:r>
          </w:p>
        </w:tc>
        <w:tc>
          <w:tcPr>
            <w:tcW w:type="dxa" w:w="108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3</w:t>
            </w:r>
          </w:p>
        </w:tc>
        <w:tc>
          <w:tcPr>
            <w:tcW w:type="dxa" w:w="36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Behavioral Social Science (BS)</w:t>
            </w:r>
          </w:p>
        </w:tc>
      </w:tr>
      <w:tr>
        <w:tc>
          <w:tcPr>
            <w:tcW w:type="dxa" w:w="252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ADJ 225</w:t>
            </w:r>
          </w:p>
        </w:tc>
        <w:tc>
          <w:tcPr>
            <w:tcW w:type="dxa" w:w="21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Law &amp; CJ Concentration Elective</w:t>
            </w:r>
          </w:p>
        </w:tc>
        <w:tc>
          <w:tcPr>
            <w:tcW w:type="dxa" w:w="108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3</w:t>
            </w:r>
          </w:p>
        </w:tc>
        <w:tc>
          <w:tcPr>
            <w:tcW w:type="dxa" w:w="36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Behavioral Social Science / Ethics</w:t>
            </w:r>
          </w:p>
        </w:tc>
      </w:tr>
      <w:tr>
        <w:tc>
          <w:tcPr>
            <w:tcW w:type="dxa" w:w="252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PHI 100</w:t>
            </w:r>
          </w:p>
        </w:tc>
        <w:tc>
          <w:tcPr>
            <w:tcW w:type="dxa" w:w="21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CALG Gen Ed GU</w:t>
            </w:r>
          </w:p>
        </w:tc>
        <w:tc>
          <w:tcPr>
            <w:tcW w:type="dxa" w:w="108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3</w:t>
            </w:r>
          </w:p>
        </w:tc>
        <w:tc>
          <w:tcPr>
            <w:tcW w:type="dxa" w:w="36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Global Understanding (GU)</w:t>
            </w:r>
          </w:p>
        </w:tc>
      </w:tr>
      <w:tr>
        <w:tc>
          <w:tcPr>
            <w:tcW w:type="dxa" w:w="252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PSY 100</w:t>
            </w:r>
          </w:p>
        </w:tc>
        <w:tc>
          <w:tcPr>
            <w:tcW w:type="dxa" w:w="21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Behavioral Social Science Elective</w:t>
            </w:r>
          </w:p>
        </w:tc>
        <w:tc>
          <w:tcPr>
            <w:tcW w:type="dxa" w:w="108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3</w:t>
            </w:r>
          </w:p>
        </w:tc>
        <w:tc>
          <w:tcPr>
            <w:tcW w:type="dxa" w:w="36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Behavioral Social Science (BS)</w:t>
            </w:r>
          </w:p>
        </w:tc>
      </w:tr>
      <w:tr>
        <w:tc>
          <w:tcPr>
            <w:tcW w:type="dxa" w:w="252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SOC 101</w:t>
            </w:r>
          </w:p>
        </w:tc>
        <w:tc>
          <w:tcPr>
            <w:tcW w:type="dxa" w:w="21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Behavioral Social Science Elective</w:t>
            </w:r>
          </w:p>
        </w:tc>
        <w:tc>
          <w:tcPr>
            <w:tcW w:type="dxa" w:w="108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3</w:t>
            </w:r>
          </w:p>
        </w:tc>
        <w:tc>
          <w:tcPr>
            <w:tcW w:type="dxa" w:w="36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Behavioral Social Science (BS)</w:t>
            </w:r>
          </w:p>
        </w:tc>
      </w:tr>
      <w:tr>
        <w:tc>
          <w:tcPr>
            <w:tcW w:type="dxa" w:w="252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BUS 100</w:t>
            </w:r>
          </w:p>
        </w:tc>
        <w:tc>
          <w:tcPr>
            <w:tcW w:type="dxa" w:w="21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Elective</w:t>
            </w:r>
          </w:p>
        </w:tc>
        <w:tc>
          <w:tcPr>
            <w:tcW w:type="dxa" w:w="108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3</w:t>
            </w:r>
          </w:p>
        </w:tc>
        <w:tc>
          <w:tcPr>
            <w:tcW w:type="dxa" w:w="36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Business/Elective</w:t>
            </w:r>
          </w:p>
        </w:tc>
      </w:tr>
      <w:tr>
        <w:tc>
          <w:tcPr>
            <w:tcW w:type="dxa" w:w="252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BUS 104</w:t>
            </w:r>
          </w:p>
        </w:tc>
        <w:tc>
          <w:tcPr>
            <w:tcW w:type="dxa" w:w="21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CALG QR; Elective</w:t>
            </w:r>
          </w:p>
        </w:tc>
        <w:tc>
          <w:tcPr>
            <w:tcW w:type="dxa" w:w="108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3</w:t>
            </w:r>
          </w:p>
        </w:tc>
        <w:tc>
          <w:tcPr>
            <w:tcW w:type="dxa" w:w="36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Quantitative Reasoning (QR)</w:t>
            </w:r>
          </w:p>
        </w:tc>
      </w:tr>
      <w:tr>
        <w:tc>
          <w:tcPr>
            <w:tcW w:type="dxa" w:w="252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SPC 101</w:t>
            </w:r>
          </w:p>
        </w:tc>
        <w:tc>
          <w:tcPr>
            <w:tcW w:type="dxa" w:w="21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CALG Gen Ed OC</w:t>
            </w:r>
          </w:p>
        </w:tc>
        <w:tc>
          <w:tcPr>
            <w:tcW w:type="dxa" w:w="108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3</w:t>
            </w:r>
          </w:p>
        </w:tc>
        <w:tc>
          <w:tcPr>
            <w:tcW w:type="dxa" w:w="36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Oral Communication (OC)</w:t>
            </w:r>
          </w:p>
        </w:tc>
      </w:tr>
      <w:tr>
        <w:tc>
          <w:tcPr>
            <w:tcW w:type="dxa" w:w="252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LGL 130 / CIS (TC)</w:t>
            </w:r>
          </w:p>
        </w:tc>
        <w:tc>
          <w:tcPr>
            <w:tcW w:type="dxa" w:w="21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CALG TC; LGL 130 Major Requirement</w:t>
            </w:r>
          </w:p>
        </w:tc>
        <w:tc>
          <w:tcPr>
            <w:tcW w:type="dxa" w:w="108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3</w:t>
            </w:r>
          </w:p>
        </w:tc>
        <w:tc>
          <w:tcPr>
            <w:tcW w:type="dxa" w:w="36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Technology Competency (TC)</w:t>
            </w:r>
          </w:p>
        </w:tc>
      </w:tr>
      <w:tr>
        <w:tc>
          <w:tcPr>
            <w:tcW w:type="dxa" w:w="2520"/>
            <w:tcBorders>
              <w:top w:val="single" w:color="CCCCCC" w:sz="4"/>
              <w:left w:val="single" w:color="CCCCCC" w:sz="4"/>
              <w:bottom w:val="single" w:color="CCCCCC" w:sz="4"/>
              <w:right w:val="single" w:color="CCCCCC" w:sz="4"/>
            </w:tcBorders>
            <w:shd w:fill="C9A227"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TOTAL PLA</w:t>
            </w:r>
          </w:p>
        </w:tc>
        <w:tc>
          <w:tcPr>
            <w:tcW w:type="dxa" w:w="2160"/>
            <w:tcBorders>
              <w:top w:val="single" w:color="CCCCCC" w:sz="4"/>
              <w:left w:val="single" w:color="CCCCCC" w:sz="4"/>
              <w:bottom w:val="single" w:color="CCCCCC" w:sz="4"/>
              <w:right w:val="single" w:color="CCCCCC" w:sz="4"/>
            </w:tcBorders>
            <w:shd w:fill="C9A227"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
            </w:r>
          </w:p>
        </w:tc>
        <w:tc>
          <w:tcPr>
            <w:tcW w:type="dxa" w:w="1080"/>
            <w:tcBorders>
              <w:top w:val="single" w:color="CCCCCC" w:sz="4"/>
              <w:left w:val="single" w:color="CCCCCC" w:sz="4"/>
              <w:bottom w:val="single" w:color="CCCCCC" w:sz="4"/>
              <w:right w:val="single" w:color="CCCCCC" w:sz="4"/>
            </w:tcBorders>
            <w:shd w:fill="C9A227"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45</w:t>
            </w:r>
          </w:p>
        </w:tc>
        <w:tc>
          <w:tcPr>
            <w:tcW w:type="dxa" w:w="3600"/>
            <w:tcBorders>
              <w:top w:val="single" w:color="CCCCCC" w:sz="4"/>
              <w:left w:val="single" w:color="CCCCCC" w:sz="4"/>
              <w:bottom w:val="single" w:color="CCCCCC" w:sz="4"/>
              <w:right w:val="single" w:color="CCCCCC" w:sz="4"/>
            </w:tcBorders>
            <w:shd w:fill="C9A227"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4.3 — Remaining Coursework Plan (To Be Completed at DCCC)</w:t>
      </w:r>
    </w:p>
    <w:p>
      <w:pPr>
        <w:spacing w:after="120" w:before="80" w:line="276"/>
        <w:jc w:val="left"/>
      </w:pPr>
      <w:r>
        <w:rPr>
          <w:rFonts w:ascii="Arial" w:cs="Arial" w:eastAsia="Arial" w:hAnsi="Arial"/>
          <w:b w:val="false"/>
          <w:bCs w:val="false"/>
          <w:i w:val="false"/>
          <w:iCs w:val="false"/>
          <w:caps w:val="false"/>
          <w:color w:val="333333"/>
          <w:sz w:val="20"/>
          <w:szCs w:val="20"/>
        </w:rPr>
        <w:t xml:space="preserve">The following courses are not covered by this PLA portfolio and will be completed through traditional enrollment at DCCC. This plan meets the 24-credit minimum residency requirement (credits earned at DCCC).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1200"/>
        <w:gridCol w:w="1960"/>
      </w:tblGrid>
      <w:tr>
        <w:tc>
          <w:tcPr>
            <w:tcW w:type="dxa" w:w="18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Course</w:t>
            </w:r>
          </w:p>
        </w:tc>
        <w:tc>
          <w:tcPr>
            <w:tcW w:type="dxa" w:w="54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Title</w:t>
            </w:r>
          </w:p>
        </w:tc>
        <w:tc>
          <w:tcPr>
            <w:tcW w:type="dxa" w:w="12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Cr</w:t>
            </w:r>
          </w:p>
        </w:tc>
        <w:tc>
          <w:tcPr>
            <w:tcW w:type="dxa" w:w="19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Requirement</w:t>
            </w:r>
          </w:p>
        </w:tc>
      </w:tr>
      <w:tr>
        <w:tc>
          <w:tcPr>
            <w:tcW w:type="dxa" w:w="18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LGL 110</w:t>
            </w:r>
          </w:p>
        </w:tc>
        <w:tc>
          <w:tcPr>
            <w:tcW w:type="dxa" w:w="54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Legal Research and Writing</w:t>
            </w:r>
          </w:p>
        </w:tc>
        <w:tc>
          <w:tcPr>
            <w:tcW w:type="dxa" w:w="12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3</w:t>
            </w:r>
          </w:p>
        </w:tc>
        <w:tc>
          <w:tcPr>
            <w:tcW w:type="dxa" w:w="19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Major Required</w:t>
            </w:r>
          </w:p>
        </w:tc>
      </w:tr>
      <w:tr>
        <w:tc>
          <w:tcPr>
            <w:tcW w:type="dxa" w:w="18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LGL 120</w:t>
            </w:r>
          </w:p>
        </w:tc>
        <w:tc>
          <w:tcPr>
            <w:tcW w:type="dxa" w:w="54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Legal Office Procedures</w:t>
            </w:r>
          </w:p>
        </w:tc>
        <w:tc>
          <w:tcPr>
            <w:tcW w:type="dxa" w:w="12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3</w:t>
            </w:r>
          </w:p>
        </w:tc>
        <w:tc>
          <w:tcPr>
            <w:tcW w:type="dxa" w:w="19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Major Required</w:t>
            </w:r>
          </w:p>
        </w:tc>
      </w:tr>
      <w:tr>
        <w:tc>
          <w:tcPr>
            <w:tcW w:type="dxa" w:w="18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LGL 140</w:t>
            </w:r>
          </w:p>
        </w:tc>
        <w:tc>
          <w:tcPr>
            <w:tcW w:type="dxa" w:w="54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Real Property Law</w:t>
            </w:r>
          </w:p>
        </w:tc>
        <w:tc>
          <w:tcPr>
            <w:tcW w:type="dxa" w:w="12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3</w:t>
            </w:r>
          </w:p>
        </w:tc>
        <w:tc>
          <w:tcPr>
            <w:tcW w:type="dxa" w:w="19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Major Required</w:t>
            </w:r>
          </w:p>
        </w:tc>
      </w:tr>
      <w:tr>
        <w:tc>
          <w:tcPr>
            <w:tcW w:type="dxa" w:w="18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LGL 211</w:t>
            </w:r>
          </w:p>
        </w:tc>
        <w:tc>
          <w:tcPr>
            <w:tcW w:type="dxa" w:w="54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Advanced Civil Litigation</w:t>
            </w:r>
          </w:p>
        </w:tc>
        <w:tc>
          <w:tcPr>
            <w:tcW w:type="dxa" w:w="12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3</w:t>
            </w:r>
          </w:p>
        </w:tc>
        <w:tc>
          <w:tcPr>
            <w:tcW w:type="dxa" w:w="19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Major Required</w:t>
            </w:r>
          </w:p>
        </w:tc>
      </w:tr>
      <w:tr>
        <w:tc>
          <w:tcPr>
            <w:tcW w:type="dxa" w:w="18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LGL 199 or LGL 197</w:t>
            </w:r>
          </w:p>
        </w:tc>
        <w:tc>
          <w:tcPr>
            <w:tcW w:type="dxa" w:w="54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Paralegal Practicum / Internship</w:t>
            </w:r>
          </w:p>
        </w:tc>
        <w:tc>
          <w:tcPr>
            <w:tcW w:type="dxa" w:w="12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3</w:t>
            </w:r>
          </w:p>
        </w:tc>
        <w:tc>
          <w:tcPr>
            <w:tcW w:type="dxa" w:w="19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Major Required</w:t>
            </w:r>
          </w:p>
        </w:tc>
      </w:tr>
      <w:tr>
        <w:tc>
          <w:tcPr>
            <w:tcW w:type="dxa" w:w="18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Lab Science (SI)</w:t>
            </w:r>
          </w:p>
        </w:tc>
        <w:tc>
          <w:tcPr>
            <w:tcW w:type="dxa" w:w="54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Scientific Inquiry Lab Science (to be selected)</w:t>
            </w:r>
          </w:p>
        </w:tc>
        <w:tc>
          <w:tcPr>
            <w:tcW w:type="dxa" w:w="12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3</w:t>
            </w:r>
          </w:p>
        </w:tc>
        <w:tc>
          <w:tcPr>
            <w:tcW w:type="dxa" w:w="19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CALG Gen Ed SI</w:t>
            </w:r>
          </w:p>
        </w:tc>
      </w:tr>
      <w:tr>
        <w:tc>
          <w:tcPr>
            <w:tcW w:type="dxa" w:w="18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SUBTOTAL</w:t>
            </w:r>
          </w:p>
        </w:tc>
        <w:tc>
          <w:tcPr>
            <w:tcW w:type="dxa" w:w="54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
            </w:r>
          </w:p>
        </w:tc>
        <w:tc>
          <w:tcPr>
            <w:tcW w:type="dxa" w:w="12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~18</w:t>
            </w:r>
          </w:p>
        </w:tc>
        <w:tc>
          <w:tcPr>
            <w:tcW w:type="dxa" w:w="19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4.4 — Statement of Academic Readiness</w:t>
      </w:r>
    </w:p>
    <w:p>
      <w:pPr>
        <w:spacing w:after="120" w:before="80" w:line="276"/>
        <w:jc w:val="left"/>
      </w:pPr>
      <w:r>
        <w:rPr>
          <w:rFonts w:ascii="Arial" w:cs="Arial" w:eastAsia="Arial" w:hAnsi="Arial"/>
          <w:b w:val="false"/>
          <w:bCs w:val="false"/>
          <w:i w:val="false"/>
          <w:iCs w:val="false"/>
          <w:caps w:val="false"/>
          <w:color w:val="333333"/>
          <w:sz w:val="20"/>
          <w:szCs w:val="20"/>
        </w:rPr>
        <w:t xml:space="preserve">I am ready to complete this degree. I have the legal knowledge, writing proficiency, research skills, and professional experience to succeed in the remaining coursework and in the paralegal profession. The courses remaining — LGL 110 (Legal Research and Writing), LGL 120 (Legal Office Procedures), LGL 140 (Real Property), LGL 211 (Advanced Civil Litigation), and the practicum — are courses I will approach with the same level of engagement I have brought to every legal matter I have handled independently.</w:t>
      </w:r>
    </w:p>
    <w:p>
      <w:pPr>
        <w:spacing w:after="120" w:before="80" w:line="276"/>
        <w:jc w:val="left"/>
      </w:pPr>
      <w:r>
        <w:rPr>
          <w:rFonts w:ascii="Arial" w:cs="Arial" w:eastAsia="Arial" w:hAnsi="Arial"/>
          <w:b w:val="false"/>
          <w:bCs w:val="false"/>
          <w:i w:val="false"/>
          <w:iCs w:val="false"/>
          <w:caps w:val="false"/>
          <w:color w:val="333333"/>
          <w:sz w:val="20"/>
          <w:szCs w:val="20"/>
        </w:rPr>
        <w:t xml:space="preserve">I am not a student who is asking for shortcuts. I am a practitioner who has been doing this work for over a decade and is now formalizing that experience into a credential that accurately reflects my knowledge and capability. This portfolio is my evidence. I invite the faculty evaluators to assess it rigorously — because I am confident that what I have documented here exceeds the standards this program requires.</w:t>
      </w:r>
    </w:p>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Submitted By: Alexa M. Rossini
Student ID: P00721319
Email: arossini@mail.dccc.edu
Address: 521 Jansen Ave, Essington PA 19029
Advisor: Linda Collier</w:t>
            </w:r>
          </w:p>
        </w:tc>
        <w:tc>
          <w:tcPr>
            <w:tcW w:type="dxa" w:w="468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Program: Legal and Paralegal Studies (LGL) AA
Catalog Year: Fall/Winter 2025
Institution: Delaware County Community College
Total PLA Credits Requested: 45
Date Submitted: June 9, 2026</w:t>
            </w:r>
          </w:p>
        </w:tc>
      </w:tr>
    </w:tbl>
    <w:p>
      <w:r>
        <w:br w:type="pag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options/>
  <w:p>
    <w:pPr>
      <w:jc w:val="center"/>
      <w:pBdr>
        <w:top w:val="single" w:sz="6" w:space="1" w:color="1A3A5C"/>
      </w:pBdr>
    </w:pPr>
    <w:r>
      <w:rPr>
        <w:b/>
        <w:color w:val="8B0000"/>
        <w:sz w:val="18"/>
      </w:rPr>
      <w:t>CONFIDENTIAL — FOR DCCC ACADEMIC REVIEW ONLY</w:t>
    </w:r>
    <w:r>
      <w:t xml:space="preserve">     Page </w:t>
    </w:r>
    <w:r>
      <w:rPr>
        <w:sz w:val="18"/>
      </w:rPr>
      <w:fldChar w:fldCharType="begin"/>
      <w:instrText>PAGE</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options/>
  <w:p>
    <w:pPr>
      <w:jc w:val="center"/>
    </w:pPr>
    <w:r>
      <w:rPr>
        <w:b/>
        <w:color w:val="1A3A5C"/>
        <w:sz w:val="20"/>
      </w:rPr>
      <w:t>Alexa Shuda  |  Student ID: P00721319</w:t>
    </w:r>
  </w:p>
  <w:p>
    <w:pPr>
      <w:jc w:val="center"/>
      <w:pBdr>
        <w:bottom w:val="single" w:sz="6" w:space="1" w:color="1A3A5C"/>
      </w:pBdr>
    </w:pPr>
    <w:r>
      <w:rPr>
        <w:b w:val="0"/>
        <w:color w:val="555555"/>
        <w:sz w:val="18"/>
      </w:rPr>
      <w:t>Delaware County Community College  |  Legal Studies (LGL) Program  |  Prior Learning Assessment Portfolio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rPr>
      <w:rFonts w:ascii="Georgia" w:cs="Georgia" w:eastAsia="Georgia" w:hAnsi="Georgia"/>
      <w:color w:val="1A1A1A"/>
      <w:sz w:val="22"/>
      <w:szCs w:val="22"/>
    </w:rPr>
  </w:style>
  <w:style w:type="paragraph" w:styleId="Heading1">
    <w:name w:val="Heading 1"/>
    <w:pPr>
      <w:spacing w:after="120" w:before="400"/>
    </w:pPr>
    <w:rPr>
      <w:rFonts w:ascii="Calibri" w:cs="Calibri" w:eastAsia="Calibri" w:hAnsi="Calibri"/>
      <w:b/>
      <w:bCs/>
      <w:color w:val="1F3864"/>
      <w:sz w:val="32"/>
      <w:szCs w:val="32"/>
    </w:rPr>
  </w:style>
  <w:style w:type="paragraph" w:styleId="Heading2">
    <w:name w:val="Heading 2"/>
    <w:pPr>
      <w:spacing w:after="80" w:before="320"/>
    </w:pPr>
    <w:rPr>
      <w:rFonts w:ascii="Calibri" w:cs="Calibri" w:eastAsia="Calibri" w:hAnsi="Calibri"/>
      <w:b/>
      <w:bCs/>
      <w:color w:val="1F3864"/>
      <w:sz w:val="26"/>
      <w:szCs w:val="26"/>
    </w:rPr>
  </w:style>
  <w:style w:type="paragraph" w:styleId="Heading3">
    <w:name w:val="Heading 3"/>
    <w:pPr>
      <w:spacing w:after="60" w:before="240"/>
    </w:pPr>
    <w:rPr>
      <w:rFonts w:ascii="Calibri" w:cs="Calibri" w:eastAsia="Calibri" w:hAnsi="Calibri"/>
      <w:b/>
      <w:bCs/>
      <w:color w:val="2E75B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2026-06-09T18:25:58.595Z</dcterms:created>
  <dcterms:modified xsi:type="dcterms:W3CDTF">2026-06-09T18:25:58.597Z</dcterms:modified>
</cp:coreProperties>
</file>

<file path=docProps/custom.xml><?xml version="1.0" encoding="utf-8"?>
<Properties xmlns="http://schemas.openxmlformats.org/officeDocument/2006/custom-properties" xmlns:vt="http://schemas.openxmlformats.org/officeDocument/2006/docPropsVTypes"/>
</file>