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0A1628"/>
          <w:sz w:val="40"/>
          <w:szCs w:val="40"/>
        </w:rPr>
        <w:t xml:space="preserve">PRIOR LEARNING ASSESSMENT PORTFOLIO</w:t>
      </w:r>
    </w:p>
    <w:p>
      <w:pPr>
        <w:pBdr>
          <w:bottom w:val="single" w:color="C9A84C" w:sz="10" w:space="4"/>
        </w:pBdr>
        <w:spacing w:after="500"/>
        <w:jc w:val="center"/>
      </w:pPr>
      <w:r>
        <w:rPr>
          <w:rFonts w:ascii="Arial" w:cs="Arial" w:eastAsia="Arial" w:hAnsi="Arial"/>
          <w:color w:val="C9A84C"/>
          <w:sz w:val="28"/>
          <w:szCs w:val="28"/>
        </w:rPr>
        <w:t xml:space="preserve">Associate in Arts — Legal and Paralegal Studies (LGL)</w:t>
      </w:r>
    </w:p>
    <w:p>
      <w:pPr>
        <w:spacing w:after="300"/>
      </w:pPr>
    </w:p>
    <w:p>
      <w:pPr>
        <w:spacing w:after="80"/>
        <w:jc w:val="center"/>
      </w:pPr>
      <w:r>
        <w:rPr>
          <w:rFonts w:ascii="Arial" w:cs="Arial" w:eastAsia="Arial" w:hAnsi="Arial"/>
          <w:b/>
          <w:bCs/>
          <w:color w:val="0A1628"/>
          <w:sz w:val="28"/>
          <w:szCs w:val="28"/>
        </w:rPr>
        <w:t xml:space="preserve">Alexa Shuda (f.k.a. Rossini)</w:t>
      </w:r>
    </w:p>
    <w:p>
      <w:pPr>
        <w:spacing w:after="80"/>
        <w:jc w:val="center"/>
      </w:pPr>
      <w:r>
        <w:rPr>
          <w:rFonts w:ascii="Arial" w:cs="Arial" w:eastAsia="Arial" w:hAnsi="Arial"/>
          <w:color w:val="1A1A2E"/>
          <w:sz w:val="22"/>
          <w:szCs w:val="22"/>
        </w:rPr>
        <w:t xml:space="preserve">Student ID: P00721319  |  lex@puuere.com</w:t>
      </w:r>
    </w:p>
    <w:p>
      <w:pPr>
        <w:spacing w:after="300"/>
      </w:pPr>
    </w:p>
    <w:p>
      <w:pPr>
        <w:spacing w:after="80"/>
        <w:jc w:val="center"/>
      </w:pPr>
      <w:r>
        <w:rPr>
          <w:rFonts w:ascii="Arial" w:cs="Arial" w:eastAsia="Arial" w:hAnsi="Arial"/>
          <w:b/>
          <w:bCs/>
          <w:color w:val="0A1628"/>
          <w:sz w:val="24"/>
          <w:szCs w:val="24"/>
        </w:rPr>
        <w:t xml:space="preserve">Delaware County Community College</w:t>
      </w:r>
    </w:p>
    <w:p>
      <w:pPr>
        <w:spacing w:after="80"/>
        <w:jc w:val="center"/>
      </w:pPr>
      <w:r>
        <w:rPr>
          <w:rFonts w:ascii="Arial" w:cs="Arial" w:eastAsia="Arial" w:hAnsi="Arial"/>
          <w:color w:val="1A1A2E"/>
          <w:sz w:val="22"/>
          <w:szCs w:val="22"/>
        </w:rPr>
        <w:t xml:space="preserve">Department of Legal Studies &amp; Criminal Justice</w:t>
      </w:r>
    </w:p>
    <w:p>
      <w:pPr>
        <w:spacing w:after="80"/>
        <w:jc w:val="center"/>
      </w:pPr>
      <w:r>
        <w:rPr>
          <w:rFonts w:ascii="Arial" w:cs="Arial" w:eastAsia="Arial" w:hAnsi="Arial"/>
          <w:color w:val="5A6475"/>
          <w:sz w:val="22"/>
          <w:szCs w:val="22"/>
        </w:rPr>
        <w:t xml:space="preserve">Catalog Year: Fall/Winter 2025</w:t>
      </w:r>
    </w:p>
    <w:p>
      <w:pPr>
        <w:spacing w:after="300"/>
      </w:pPr>
    </w:p>
    <w:p>
      <w:pPr>
        <w:spacing w:after="60"/>
        <w:jc w:val="center"/>
      </w:pPr>
      <w:r>
        <w:rPr>
          <w:rFonts w:ascii="Arial" w:cs="Arial" w:eastAsia="Arial" w:hAnsi="Arial"/>
          <w:color w:val="5A6475"/>
          <w:sz w:val="20"/>
          <w:szCs w:val="20"/>
        </w:rPr>
        <w:t xml:space="preserve">CONCENTRATION DECLARED:</w:t>
      </w:r>
    </w:p>
    <w:p>
      <w:pPr>
        <w:spacing w:after="200"/>
        <w:jc w:val="center"/>
      </w:pPr>
      <w:r>
        <w:rPr>
          <w:rFonts w:ascii="Arial" w:cs="Arial" w:eastAsia="Arial" w:hAnsi="Arial"/>
          <w:b/>
          <w:bCs/>
          <w:color w:val="C9A84C"/>
          <w:sz w:val="30"/>
          <w:szCs w:val="30"/>
        </w:rPr>
        <w:t xml:space="preserve">LAW AND CRIMINAL JUSTICE</w:t>
      </w:r>
    </w:p>
    <w:p>
      <w:pPr>
        <w:spacing w:after="300"/>
      </w:pPr>
    </w:p>
    <w:p>
      <w:pPr>
        <w:spacing w:after="80"/>
        <w:jc w:val="center"/>
      </w:pPr>
      <w:r>
        <w:rPr>
          <w:rFonts w:ascii="Arial" w:cs="Arial" w:eastAsia="Arial" w:hAnsi="Arial"/>
          <w:color w:val="5A6475"/>
          <w:sz w:val="22"/>
          <w:szCs w:val="22"/>
        </w:rPr>
        <w:t xml:space="preserve">Submission Date: June 2026</w:t>
      </w:r>
    </w:p>
    <w:p>
      <w:pPr>
        <w:spacing w:after="80"/>
        <w:jc w:val="center"/>
      </w:pPr>
      <w:r>
        <w:rPr>
          <w:rFonts w:ascii="Arial" w:cs="Arial" w:eastAsia="Arial" w:hAnsi="Arial"/>
          <w:color w:val="5A6475"/>
          <w:sz w:val="20"/>
          <w:szCs w:val="20"/>
        </w:rPr>
        <w:t xml:space="preserve">Degree Works Audit Reference: audit-P00721319-A002u9po</w:t>
      </w:r>
    </w:p>
    <w:p>
      <w:r>
        <w:br w:type="page"/>
      </w:r>
    </w:p>
    <w:p>
      <w:pPr>
        <w:pStyle w:val="Heading1"/>
        <w:pageBreakBefore/>
        <w:pBdr>
          <w:bottom w:val="single" w:color="C9A84C" w:sz="8" w:space="4"/>
        </w:pBdr>
        <w:spacing w:after="200" w:before="0"/>
      </w:pPr>
      <w:r>
        <w:rPr>
          <w:rFonts w:ascii="Arial" w:cs="Arial" w:eastAsia="Arial" w:hAnsi="Arial"/>
          <w:b/>
          <w:bCs/>
          <w:color w:val="0A1628"/>
          <w:sz w:val="32"/>
          <w:szCs w:val="32"/>
        </w:rPr>
        <w:t xml:space="preserve">PORTFOLIO OVERVIEW</w:t>
      </w:r>
    </w:p>
    <w:p>
      <w:pPr>
        <w:pStyle w:val="Heading2"/>
        <w:spacing w:after="120" w:before="280"/>
      </w:pPr>
      <w:r>
        <w:rPr>
          <w:rFonts w:ascii="Arial" w:cs="Arial" w:eastAsia="Arial" w:hAnsi="Arial"/>
          <w:b/>
          <w:bCs/>
          <w:color w:val="1A1A2E"/>
          <w:sz w:val="26"/>
          <w:szCs w:val="26"/>
        </w:rPr>
        <w:t xml:space="preserve">About This Submission</w:t>
      </w:r>
    </w:p>
    <w:p>
      <w:pPr>
        <w:spacing w:after="120"/>
      </w:pPr>
      <w:r>
        <w:rPr>
          <w:rFonts w:ascii="Arial" w:cs="Arial" w:eastAsia="Arial" w:hAnsi="Arial"/>
          <w:sz w:val="22"/>
          <w:szCs w:val="22"/>
        </w:rPr>
        <w:t xml:space="preserve">This Prior Learning Assessment (PLA) portfolio documents experiential learning competencies equivalent to 57 credit hours of coursework in the Associate in Arts, Legal and Paralegal Studies program at Delaware County Community College. It is submitted pursuant to DCCC's PLA policy and is calibrated against the official Degree Works audit for Student ID P00721319 (audit date 06/09/2026, catalog year Fall/Winter 2025).</w:t>
      </w:r>
    </w:p>
    <w:p>
      <w:pPr>
        <w:spacing w:after="120"/>
      </w:pPr>
      <w:r>
        <w:rPr>
          <w:rFonts w:ascii="Arial" w:cs="Arial" w:eastAsia="Arial" w:hAnsi="Arial"/>
          <w:sz w:val="22"/>
          <w:szCs w:val="22"/>
        </w:rPr>
        <w:t xml:space="preserve">The portfolio covers competencies in 19 courses across the major core, general education requirements, Law and Criminal Justice concentration, and elective categories. One required course — a natural or physical science lab (SI attribute) — is acknowledged as a gap; the petitioner does not claim PLA credit for laboratory science and will fulfill this requirement through enrollment.</w:t>
      </w:r>
    </w:p>
    <w:p>
      <w:pPr>
        <w:pStyle w:val="Heading2"/>
        <w:spacing w:after="120" w:before="280"/>
      </w:pPr>
      <w:r>
        <w:rPr>
          <w:rFonts w:ascii="Arial" w:cs="Arial" w:eastAsia="Arial" w:hAnsi="Arial"/>
          <w:b/>
          <w:bCs/>
          <w:color w:val="1A1A2E"/>
          <w:sz w:val="26"/>
          <w:szCs w:val="26"/>
        </w:rPr>
        <w:t xml:space="preserve">Concentration Declaration</w:t>
      </w:r>
    </w:p>
    <w:p>
      <w:pPr>
        <w:spacing w:after="120"/>
      </w:pPr>
      <w:r>
        <w:rPr>
          <w:rFonts w:ascii="Arial" w:cs="Arial" w:eastAsia="Arial" w:hAnsi="Arial"/>
          <w:sz w:val="22"/>
          <w:szCs w:val="22"/>
        </w:rPr>
        <w:t xml:space="preserve">The petitioner declares the LAW AND CRIMINAL JUSTICE concentration. This concentration requires five courses including ADJ 241, LGL 240, and LGL 246 as mandatory components, with ADJ 101 and ADJ 225 completing the five required courses. ADJ 241 double-counts as both the concentration requirement and the Diversity &amp; Justice (DJ) General Education requirement.</w:t>
      </w:r>
    </w:p>
    <w:p>
      <w:pPr>
        <w:pStyle w:val="Heading2"/>
        <w:spacing w:after="120" w:before="280"/>
      </w:pPr>
      <w:r>
        <w:rPr>
          <w:rFonts w:ascii="Arial" w:cs="Arial" w:eastAsia="Arial" w:hAnsi="Arial"/>
          <w:b/>
          <w:bCs/>
          <w:color w:val="1A1A2E"/>
          <w:sz w:val="26"/>
          <w:szCs w:val="26"/>
        </w:rPr>
        <w:t xml:space="preserve">Credit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Category</w:t>
            </w:r>
          </w:p>
        </w:tc>
        <w:tc>
          <w:tcPr>
            <w:tcW w:type="dxa" w:w="35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Courses</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Credits</w:t>
            </w:r>
          </w:p>
        </w:tc>
      </w:tr>
      <w:tr>
        <w:tc>
          <w:tcPr>
            <w:tcW w:type="dxa" w:w="35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Major Core — LGL</w:t>
            </w:r>
          </w:p>
        </w:tc>
        <w:tc>
          <w:tcPr>
            <w:tcW w:type="dxa" w:w="35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LGL 100, 110, 120, 130, 140, 210, 211, 199</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8 courses / 24 credits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General Education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ENG 100, ENG 112, BUS 104, SPC 101, PHI 100, ADJ 241</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6 courses / 18 credits</w:t>
            </w:r>
          </w:p>
        </w:tc>
      </w:tr>
      <w:tr>
        <w:tc>
          <w:tcPr>
            <w:tcW w:type="dxa" w:w="35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LGL 130 (TC)</w:t>
            </w:r>
          </w:p>
        </w:tc>
        <w:tc>
          <w:tcPr>
            <w:tcW w:type="dxa" w:w="35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Double-counts: Major Core + Gen Ed IT requirement</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(1 course, counted above)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Science Lab (SI)</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NOT claimed via PLA — will enroll in lab science course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3 credits (to enroll)</w:t>
            </w:r>
          </w:p>
        </w:tc>
      </w:tr>
      <w:tr>
        <w:tc>
          <w:tcPr>
            <w:tcW w:type="dxa" w:w="35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Concentration</w:t>
            </w:r>
          </w:p>
        </w:tc>
        <w:tc>
          <w:tcPr>
            <w:tcW w:type="dxa" w:w="35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LGL 240, LGL 246, ADJ 101, ADJ 225 (ADJ 241 above)</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4 new courses / 12 credits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BSS Elective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SOC 101</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1 course / 3 credits</w:t>
            </w:r>
          </w:p>
        </w:tc>
      </w:tr>
      <w:tr>
        <w:tc>
          <w:tcPr>
            <w:tcW w:type="dxa" w:w="35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TOTAL PLA CLAIM</w:t>
            </w:r>
          </w:p>
        </w:tc>
        <w:tc>
          <w:tcPr>
            <w:tcW w:type="dxa" w:w="35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19 distinct courses</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57 credits via PLA</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Remaining to Enroll</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1 SI lab science course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3 credits via enrollment</w:t>
            </w:r>
          </w:p>
        </w:tc>
      </w:tr>
    </w:tbl>
    <w:p>
      <w:pPr>
        <w:spacing w:after="120"/>
      </w:pPr>
    </w:p>
    <w:p>
      <w:pPr>
        <w:pStyle w:val="Heading2"/>
        <w:spacing w:after="120" w:before="280"/>
      </w:pPr>
      <w:r>
        <w:rPr>
          <w:rFonts w:ascii="Arial" w:cs="Arial" w:eastAsia="Arial" w:hAnsi="Arial"/>
          <w:b/>
          <w:bCs/>
          <w:color w:val="1A1A2E"/>
          <w:sz w:val="26"/>
          <w:szCs w:val="26"/>
        </w:rPr>
        <w:t xml:space="preserve">Evidence Organization</w:t>
      </w:r>
    </w:p>
    <w:p>
      <w:pPr>
        <w:spacing w:after="120"/>
      </w:pPr>
      <w:r>
        <w:rPr>
          <w:rFonts w:ascii="Arial" w:cs="Arial" w:eastAsia="Arial" w:hAnsi="Arial"/>
          <w:sz w:val="22"/>
          <w:szCs w:val="22"/>
        </w:rPr>
        <w:t xml:space="preserve">All supporting evidence is organized in the following portfolio directory structure:</w:t>
      </w:r>
    </w:p>
    <w:p>
      <w:pPr>
        <w:pStyle w:val="ListParagraph"/>
        <w:numPr>
          <w:ilvl w:val="0"/>
          <w:numId w:val="2"/>
        </w:numPr>
        <w:spacing w:after="60"/>
      </w:pPr>
      <w:r>
        <w:rPr>
          <w:rFonts w:ascii="Arial" w:cs="Arial" w:eastAsia="Arial" w:hAnsi="Arial"/>
          <w:sz w:val="22"/>
          <w:szCs w:val="22"/>
        </w:rPr>
        <w:t xml:space="preserve">01_CUSTODY_CCP_2016-5628/ — Delaware County CCP No. 2016-5628 custody matter</w:t>
      </w:r>
    </w:p>
    <w:p>
      <w:pPr>
        <w:pStyle w:val="ListParagraph"/>
        <w:numPr>
          <w:ilvl w:val="0"/>
          <w:numId w:val="2"/>
        </w:numPr>
        <w:spacing w:after="60"/>
      </w:pPr>
      <w:r>
        <w:rPr>
          <w:rFonts w:ascii="Arial" w:cs="Arial" w:eastAsia="Arial" w:hAnsi="Arial"/>
          <w:sz w:val="22"/>
          <w:szCs w:val="22"/>
        </w:rPr>
        <w:t xml:space="preserve">02_RELOCATION_VIOLATION/ — 23 Pa.C.S. §5337 relocation evidence</w:t>
      </w:r>
    </w:p>
    <w:p>
      <w:pPr>
        <w:pStyle w:val="ListParagraph"/>
        <w:numPr>
          <w:ilvl w:val="0"/>
          <w:numId w:val="2"/>
        </w:numPr>
        <w:spacing w:after="60"/>
      </w:pPr>
      <w:r>
        <w:rPr>
          <w:rFonts w:ascii="Arial" w:cs="Arial" w:eastAsia="Arial" w:hAnsi="Arial"/>
          <w:sz w:val="22"/>
          <w:szCs w:val="22"/>
        </w:rPr>
        <w:t xml:space="preserve">03_CONTEMPT_EVIDENCE/ — withheld parenting time documentation</w:t>
      </w:r>
    </w:p>
    <w:p>
      <w:pPr>
        <w:pStyle w:val="ListParagraph"/>
        <w:numPr>
          <w:ilvl w:val="0"/>
          <w:numId w:val="2"/>
        </w:numPr>
        <w:spacing w:after="60"/>
      </w:pPr>
      <w:r>
        <w:rPr>
          <w:rFonts w:ascii="Arial" w:cs="Arial" w:eastAsia="Arial" w:hAnsi="Arial"/>
          <w:sz w:val="22"/>
          <w:szCs w:val="22"/>
        </w:rPr>
        <w:t xml:space="preserve">04_HATBORO_1983_EDPA/ — 42 U.S.C. §1983 federal civil rights action materials</w:t>
      </w:r>
    </w:p>
    <w:p>
      <w:pPr>
        <w:pStyle w:val="ListParagraph"/>
        <w:numPr>
          <w:ilvl w:val="0"/>
          <w:numId w:val="2"/>
        </w:numPr>
        <w:spacing w:after="60"/>
      </w:pPr>
      <w:r>
        <w:rPr>
          <w:rFonts w:ascii="Arial" w:cs="Arial" w:eastAsia="Arial" w:hAnsi="Arial"/>
          <w:sz w:val="22"/>
          <w:szCs w:val="22"/>
        </w:rPr>
        <w:t xml:space="preserve">05_RTKL_OOR_APPEALS/ — Right-to-Know Law appeals AP-2026-0500 and AP-2026-1243</w:t>
      </w:r>
    </w:p>
    <w:p>
      <w:pPr>
        <w:pStyle w:val="ListParagraph"/>
        <w:numPr>
          <w:ilvl w:val="0"/>
          <w:numId w:val="2"/>
        </w:numPr>
        <w:spacing w:after="60"/>
      </w:pPr>
      <w:r>
        <w:rPr>
          <w:rFonts w:ascii="Arial" w:cs="Arial" w:eastAsia="Arial" w:hAnsi="Arial"/>
          <w:sz w:val="22"/>
          <w:szCs w:val="22"/>
        </w:rPr>
        <w:t xml:space="preserve">06_EDUCATION_FERPA_IDEA/ — FERPA, IDEA, Section 504, CPSL materials</w:t>
      </w:r>
    </w:p>
    <w:p>
      <w:pPr>
        <w:pStyle w:val="ListParagraph"/>
        <w:numPr>
          <w:ilvl w:val="0"/>
          <w:numId w:val="2"/>
        </w:numPr>
        <w:spacing w:after="60"/>
      </w:pPr>
      <w:r>
        <w:rPr>
          <w:rFonts w:ascii="Arial" w:cs="Arial" w:eastAsia="Arial" w:hAnsi="Arial"/>
          <w:sz w:val="22"/>
          <w:szCs w:val="22"/>
        </w:rPr>
        <w:t xml:space="preserve">07_EVIDENCE_EXHIBITS/ — additional exhibits and supporting documentation</w:t>
      </w:r>
    </w:p>
    <w:p>
      <w:pPr>
        <w:pStyle w:val="ListParagraph"/>
        <w:numPr>
          <w:ilvl w:val="0"/>
          <w:numId w:val="2"/>
        </w:numPr>
        <w:spacing w:after="60"/>
      </w:pPr>
      <w:r>
        <w:rPr>
          <w:rFonts w:ascii="Arial" w:cs="Arial" w:eastAsia="Arial" w:hAnsi="Arial"/>
          <w:sz w:val="22"/>
          <w:szCs w:val="22"/>
        </w:rPr>
        <w:t xml:space="preserve">08_POA_AUTHORITY/ — Durable Power of Attorney (July 24, 2025)</w:t>
      </w:r>
    </w:p>
    <w:p>
      <w:pPr>
        <w:pStyle w:val="ListParagraph"/>
        <w:numPr>
          <w:ilvl w:val="0"/>
          <w:numId w:val="2"/>
        </w:numPr>
        <w:spacing w:after="60"/>
      </w:pPr>
      <w:r>
        <w:rPr>
          <w:rFonts w:ascii="Arial" w:cs="Arial" w:eastAsia="Arial" w:hAnsi="Arial"/>
          <w:sz w:val="22"/>
          <w:szCs w:val="22"/>
        </w:rPr>
        <w:t xml:space="preserve">09_LEGAL_DRAFTS_FILED/ — all drafted motions, complaints, petitions</w:t>
      </w:r>
    </w:p>
    <w:p>
      <w:pPr>
        <w:pStyle w:val="ListParagraph"/>
        <w:numPr>
          <w:ilvl w:val="0"/>
          <w:numId w:val="2"/>
        </w:numPr>
        <w:spacing w:after="60"/>
      </w:pPr>
      <w:r>
        <w:rPr>
          <w:rFonts w:ascii="Arial" w:cs="Arial" w:eastAsia="Arial" w:hAnsi="Arial"/>
          <w:sz w:val="22"/>
          <w:szCs w:val="22"/>
        </w:rPr>
        <w:t xml:space="preserve">00_GENERAL_STUDIES_EVIDENCE/ — AmeriCorps, LLC, LawLexx, Woman's Wrench</w:t>
      </w:r>
    </w:p>
    <w:p>
      <w:pPr>
        <w:spacing w:after="120"/>
      </w:pPr>
    </w:p>
    <w:p>
      <w:pPr>
        <w:pStyle w:val="Heading2"/>
        <w:spacing w:after="120" w:before="280"/>
      </w:pPr>
      <w:r>
        <w:rPr>
          <w:rFonts w:ascii="Arial" w:cs="Arial" w:eastAsia="Arial" w:hAnsi="Arial"/>
          <w:b/>
          <w:bCs/>
          <w:color w:val="1A1A2E"/>
          <w:sz w:val="26"/>
          <w:szCs w:val="26"/>
        </w:rPr>
        <w:t xml:space="preserve">Petitioner Background</w:t>
      </w:r>
    </w:p>
    <w:p>
      <w:pPr>
        <w:spacing w:after="120"/>
      </w:pPr>
      <w:r>
        <w:rPr>
          <w:rFonts w:ascii="Arial" w:cs="Arial" w:eastAsia="Arial" w:hAnsi="Arial"/>
          <w:sz w:val="22"/>
          <w:szCs w:val="22"/>
        </w:rPr>
        <w:t xml:space="preserve">Alexa Shuda is a pro se litigant and authorized legal agent who has operated continuously in the Pennsylvania state and federal court systems for over five years, pursuing concurrent matters in Delaware County Court of Common Pleas, the Pennsylvania Office of Open Records, Mountain View School District (FERPA/IDEA), and in preparation of a 42 U.S.C. §1983 federal civil rights action. She is the founder and sole developer of LawLexx / Legalitize, a production-grade legal AI SaaS platform for law firms, and founder of Shuda Enterprises, LLC (EIN 39-2133642, PA Entity #0014380433). Two completed AmeriCorps NCCC service terms (3,629 total hours) provide additional demonstrated competencies in public service, community engagement, and civic communication.</w:t>
      </w:r>
    </w:p>
    <w:p>
      <w:pPr>
        <w:spacing w:after="120"/>
      </w:pPr>
      <w:r>
        <w:rPr>
          <w:rFonts w:ascii="Arial" w:cs="Arial" w:eastAsia="Arial" w:hAnsi="Arial"/>
          <w:sz w:val="22"/>
          <w:szCs w:val="22"/>
        </w:rPr>
        <w:t xml:space="preserve">All competencies documented in this portfolio were developed through the sustained, high-stakes application of legal, technical, and professional skills in real-world contexts. All evidence is authentic, verifiable, and specific to each course claimed.</w:t>
      </w:r>
    </w:p>
    <w:p>
      <w:pPr>
        <w:pStyle w:val="Heading1"/>
        <w:pageBreakBefore/>
        <w:pBdr>
          <w:bottom w:val="single" w:color="C9A84C" w:sz="8" w:space="4"/>
        </w:pBdr>
        <w:spacing w:after="200" w:before="0"/>
      </w:pPr>
      <w:r>
        <w:rPr>
          <w:rFonts w:ascii="Arial" w:cs="Arial" w:eastAsia="Arial" w:hAnsi="Arial"/>
          <w:b/>
          <w:bCs/>
          <w:color w:val="0A1628"/>
          <w:sz w:val="32"/>
          <w:szCs w:val="32"/>
        </w:rPr>
        <w:t xml:space="preserve">SECTION I: MAJOR CORE — Legal Studies (LGL)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0A1628" w:val="clear"/>
            <w:tcMar>
              <w:top w:type="dxa" w:w="120"/>
              <w:left w:type="dxa" w:w="200"/>
              <w:bottom w:type="dxa" w:w="120"/>
              <w:right w:type="dxa" w:w="120"/>
            </w:tcMar>
          </w:tcPr>
          <w:p>
            <w:r>
              <w:rPr>
                <w:rFonts w:ascii="Arial" w:cs="Arial" w:eastAsia="Arial" w:hAnsi="Arial"/>
                <w:b/>
                <w:bCs/>
                <w:color w:val="C9A84C"/>
                <w:sz w:val="20"/>
                <w:szCs w:val="20"/>
              </w:rPr>
              <w:t xml:space="preserve">LGL 100 | Major Core</w:t>
            </w:r>
          </w:p>
          <w:p>
            <w:r>
              <w:rPr>
                <w:rFonts w:ascii="Arial" w:cs="Arial" w:eastAsia="Arial" w:hAnsi="Arial"/>
                <w:b/>
                <w:bCs/>
                <w:color w:val="FFFFFF"/>
                <w:sz w:val="28"/>
                <w:szCs w:val="28"/>
              </w:rPr>
              <w:t xml:space="preserve">Introduction to Legal &amp; Paralegal Studies</w:t>
            </w:r>
          </w:p>
        </w:tc>
        <w:tc>
          <w:tcPr>
            <w:tcW w:type="dxa" w:w="2360"/>
            <w:tcBorders>
              <w:top w:val="none" w:color="FFFFFF" w:sz="0"/>
              <w:left w:val="none" w:color="FFFFFF" w:sz="0"/>
              <w:bottom w:val="none" w:color="FFFFFF" w:sz="0"/>
              <w:right w:val="none" w:color="FFFFFF" w:sz="0"/>
            </w:tcBorders>
            <w:shd w:fill="C9A84C" w:val="clear"/>
            <w:tcMar>
              <w:top w:type="dxa" w:w="120"/>
              <w:left w:type="dxa" w:w="120"/>
              <w:bottom w:type="dxa" w:w="120"/>
              <w:right w:type="dxa" w:w="120"/>
            </w:tcMar>
            <w:vAlign w:val="center"/>
          </w:tcPr>
          <w:p>
            <w:pPr>
              <w:jc w:val="center"/>
            </w:pPr>
            <w:r>
              <w:rPr>
                <w:rFonts w:ascii="Arial" w:cs="Arial" w:eastAsia="Arial" w:hAnsi="Arial"/>
                <w:b/>
                <w:bCs/>
                <w:color w:val="0A1628"/>
                <w:sz w:val="24"/>
                <w:szCs w:val="24"/>
              </w:rPr>
              <w:t xml:space="preserve">3 Credits</w:t>
            </w:r>
          </w:p>
        </w:tc>
      </w:tr>
    </w:tbl>
    <w:p>
      <w:pPr>
        <w:spacing w:after="120"/>
      </w:pPr>
    </w:p>
    <w:p>
      <w:pPr>
        <w:pStyle w:val="Heading3"/>
        <w:spacing w:after="80" w:before="200"/>
      </w:pPr>
      <w:r>
        <w:rPr>
          <w:rFonts w:ascii="Arial" w:cs="Arial" w:eastAsia="Arial" w:hAnsi="Arial"/>
          <w:b/>
          <w:bCs/>
          <w:color w:val="5A6475"/>
          <w:sz w:val="22"/>
          <w:szCs w:val="22"/>
        </w:rPr>
        <w:t xml:space="preserve">DCCC Course Description</w:t>
      </w:r>
    </w:p>
    <w:p>
      <w:pPr>
        <w:spacing w:after="120"/>
      </w:pPr>
      <w:r>
        <w:rPr>
          <w:rFonts w:ascii="Arial" w:cs="Arial" w:eastAsia="Arial" w:hAnsi="Arial"/>
          <w:sz w:val="22"/>
          <w:szCs w:val="22"/>
        </w:rPr>
        <w:t xml:space="preserve">An introduction to the American legal system, courts, legal professionals, and the role of the paralegal. Topics include sources of law, legal ethics, the litigation process, and fundamental paralegal competencies.</w:t>
      </w:r>
    </w:p>
    <w:p>
      <w:pPr>
        <w:pStyle w:val="Heading3"/>
        <w:spacing w:after="80" w:before="200"/>
      </w:pPr>
      <w:r>
        <w:rPr>
          <w:rFonts w:ascii="Arial" w:cs="Arial" w:eastAsia="Arial" w:hAnsi="Arial"/>
          <w:b/>
          <w:bCs/>
          <w:color w:val="5A6475"/>
          <w:sz w:val="22"/>
          <w:szCs w:val="22"/>
        </w:rPr>
        <w:t xml:space="preserve">Prior Learning Claim Statement</w:t>
      </w:r>
    </w:p>
    <w:p>
      <w:pPr>
        <w:spacing w:after="120"/>
      </w:pPr>
      <w:r>
        <w:rPr>
          <w:rFonts w:ascii="Arial" w:cs="Arial" w:eastAsia="Arial" w:hAnsi="Arial"/>
          <w:sz w:val="22"/>
          <w:szCs w:val="22"/>
        </w:rPr>
        <w:t xml:space="preserve">Alexa Shuda demonstrates mastery of LGL 100 competencies through five years of sustained pro se legal practice across multiple concurrent matters in Pennsylvania state and federal courts — Delaware County CCP No. 2016-5628, PA Office of Open Records AP-2026-0500 and AP-2026-1243, FERPA/IDEA enforcement against Mountain View School District, and preparation of a 42 U.S.C. §1983 federal civil rights action in the Eastern District of Pennsylvania.</w:t>
      </w:r>
    </w:p>
    <w:p>
      <w:pPr>
        <w:pStyle w:val="Heading3"/>
        <w:spacing w:after="80" w:before="200"/>
      </w:pPr>
      <w:r>
        <w:rPr>
          <w:rFonts w:ascii="Arial" w:cs="Arial" w:eastAsia="Arial" w:hAnsi="Arial"/>
          <w:b/>
          <w:bCs/>
          <w:color w:val="5A6475"/>
          <w:sz w:val="22"/>
          <w:szCs w:val="22"/>
        </w:rPr>
        <w:t xml:space="preserve">Evidence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Evidence Item</w:t>
            </w:r>
          </w:p>
        </w:tc>
        <w:tc>
          <w:tcPr>
            <w:tcW w:type="dxa" w:w="42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Description / Competency Demonstrated</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Location / Folder</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Pro Se Filings</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Motions, petitions, and appeals filed before Delaware County CCP and PA Office of Open Records</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09_LEGAL_DRAFTS_FILED/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OOR Appeal Briefs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Two RTKL appeals — AP-2026-0500 and AP-2026-1243 — with full legal argument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05_RTKL_OOR_APPEALS/</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Custody Docket Materials</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Delaware County CCP No. 2016-5628 — custody, relocation, contempt proceedings</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01_CUSTODY_CCP_2016-5628/</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 1983 Complaint Draft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Federal civil rights complaint demonstrating knowledge of federal pleading standards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04_HATBORO_1983_EDPA/</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Durable Power of Attorney</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Authorized legal agent for civil/family matters — July 24, 2025</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08_POA_AUTHORITY/</w:t>
            </w:r>
          </w:p>
        </w:tc>
      </w:tr>
    </w:tbl>
    <w:p>
      <w:pPr>
        <w:spacing w:after="120"/>
      </w:pPr>
    </w:p>
    <w:p>
      <w:pPr>
        <w:pStyle w:val="Heading3"/>
        <w:spacing w:after="80" w:before="200"/>
      </w:pPr>
      <w:r>
        <w:rPr>
          <w:rFonts w:ascii="Arial" w:cs="Arial" w:eastAsia="Arial" w:hAnsi="Arial"/>
          <w:b/>
          <w:bCs/>
          <w:color w:val="5A6475"/>
          <w:sz w:val="22"/>
          <w:szCs w:val="22"/>
        </w:rPr>
        <w:t xml:space="preserve">Competency Narrative</w:t>
      </w:r>
    </w:p>
    <w:p>
      <w:pPr>
        <w:spacing w:after="120"/>
      </w:pPr>
      <w:r>
        <w:rPr>
          <w:rFonts w:ascii="Arial" w:cs="Arial" w:eastAsia="Arial" w:hAnsi="Arial"/>
          <w:sz w:val="22"/>
          <w:szCs w:val="22"/>
        </w:rPr>
        <w:t xml:space="preserve">Through five years of active pro se litigation, Alexa Shuda has developed comprehensive working knowledge of the American legal system at both state and federal levels. She has navigated the Delaware County Court of Common Pleas, the Pennsylvania Office of Open Records, and the framework of the Eastern District of Pennsylvania — demonstrating familiarity with court hierarchy, jurisdictional rules, and procedural requirements that form the core content of LGL 100.</w:t>
      </w:r>
    </w:p>
    <w:p>
      <w:pPr>
        <w:spacing w:after="120"/>
      </w:pPr>
      <w:r>
        <w:rPr>
          <w:rFonts w:ascii="Arial" w:cs="Arial" w:eastAsia="Arial" w:hAnsi="Arial"/>
          <w:sz w:val="22"/>
          <w:szCs w:val="22"/>
        </w:rPr>
        <w:t xml:space="preserve">Her ethical awareness is demonstrated through strict adherence to the unauthorized practice of law boundaries inherent in pro se representation. Operating under a Durable Power of Attorney limited to civil and family matters only, she has consistently identified the permissible scope of authorized representation and never exceeded it. This UPL awareness is precisely the professional responsibility competency that LGL 100 requires.</w:t>
      </w:r>
    </w:p>
    <w:p>
      <w:pPr>
        <w:spacing w:after="120"/>
      </w:pPr>
      <w:r>
        <w:rPr>
          <w:rFonts w:ascii="Arial" w:cs="Arial" w:eastAsia="Arial" w:hAnsi="Arial"/>
          <w:sz w:val="22"/>
          <w:szCs w:val="22"/>
        </w:rPr>
        <w:t xml:space="preserve">She has applied litigation knowledge from complaint through appeal: filing initial petitions, responding to motions, submitting exhibits, drafting appeal briefs with legal citations, and understanding the procedural posture of multiple concurrent matters. Her RTKL/OOR work demonstrates knowledge of administrative adjudication as a distinct forum; her §1983 research demonstrates understanding of federal subject matter jurisdiction and constitutional litigation.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0A1628" w:val="clear"/>
            <w:tcMar>
              <w:top w:type="dxa" w:w="120"/>
              <w:left w:type="dxa" w:w="200"/>
              <w:bottom w:type="dxa" w:w="120"/>
              <w:right w:type="dxa" w:w="120"/>
            </w:tcMar>
          </w:tcPr>
          <w:p>
            <w:r>
              <w:rPr>
                <w:rFonts w:ascii="Arial" w:cs="Arial" w:eastAsia="Arial" w:hAnsi="Arial"/>
                <w:b/>
                <w:bCs/>
                <w:color w:val="C9A84C"/>
                <w:sz w:val="20"/>
                <w:szCs w:val="20"/>
              </w:rPr>
              <w:t xml:space="preserve">LGL 110 | Major Core</w:t>
            </w:r>
          </w:p>
          <w:p>
            <w:r>
              <w:rPr>
                <w:rFonts w:ascii="Arial" w:cs="Arial" w:eastAsia="Arial" w:hAnsi="Arial"/>
                <w:b/>
                <w:bCs/>
                <w:color w:val="FFFFFF"/>
                <w:sz w:val="28"/>
                <w:szCs w:val="28"/>
              </w:rPr>
              <w:t xml:space="preserve">Legal Research &amp; Writing I</w:t>
            </w:r>
          </w:p>
        </w:tc>
        <w:tc>
          <w:tcPr>
            <w:tcW w:type="dxa" w:w="2360"/>
            <w:tcBorders>
              <w:top w:val="none" w:color="FFFFFF" w:sz="0"/>
              <w:left w:val="none" w:color="FFFFFF" w:sz="0"/>
              <w:bottom w:val="none" w:color="FFFFFF" w:sz="0"/>
              <w:right w:val="none" w:color="FFFFFF" w:sz="0"/>
            </w:tcBorders>
            <w:shd w:fill="C9A84C" w:val="clear"/>
            <w:tcMar>
              <w:top w:type="dxa" w:w="120"/>
              <w:left w:type="dxa" w:w="120"/>
              <w:bottom w:type="dxa" w:w="120"/>
              <w:right w:type="dxa" w:w="120"/>
            </w:tcMar>
            <w:vAlign w:val="center"/>
          </w:tcPr>
          <w:p>
            <w:pPr>
              <w:jc w:val="center"/>
            </w:pPr>
            <w:r>
              <w:rPr>
                <w:rFonts w:ascii="Arial" w:cs="Arial" w:eastAsia="Arial" w:hAnsi="Arial"/>
                <w:b/>
                <w:bCs/>
                <w:color w:val="0A1628"/>
                <w:sz w:val="24"/>
                <w:szCs w:val="24"/>
              </w:rPr>
              <w:t xml:space="preserve">3 Credits</w:t>
            </w:r>
          </w:p>
        </w:tc>
      </w:tr>
    </w:tbl>
    <w:p>
      <w:pPr>
        <w:spacing w:after="120"/>
      </w:pPr>
    </w:p>
    <w:p>
      <w:pPr>
        <w:pStyle w:val="Heading3"/>
        <w:spacing w:after="80" w:before="200"/>
      </w:pPr>
      <w:r>
        <w:rPr>
          <w:rFonts w:ascii="Arial" w:cs="Arial" w:eastAsia="Arial" w:hAnsi="Arial"/>
          <w:b/>
          <w:bCs/>
          <w:color w:val="5A6475"/>
          <w:sz w:val="22"/>
          <w:szCs w:val="22"/>
        </w:rPr>
        <w:t xml:space="preserve">DCCC Course Description</w:t>
      </w:r>
    </w:p>
    <w:p>
      <w:pPr>
        <w:spacing w:after="120"/>
      </w:pPr>
      <w:r>
        <w:rPr>
          <w:rFonts w:ascii="Arial" w:cs="Arial" w:eastAsia="Arial" w:hAnsi="Arial"/>
          <w:sz w:val="22"/>
          <w:szCs w:val="22"/>
        </w:rPr>
        <w:t xml:space="preserve">Introduction to legal research methods, primary and secondary sources, statutory and case law research, Bluebook citation, and the fundamentals of legal writing. Students learn to find and analyze legal authority and communicate findings in written form.</w:t>
      </w:r>
    </w:p>
    <w:p>
      <w:pPr>
        <w:pStyle w:val="Heading3"/>
        <w:spacing w:after="80" w:before="200"/>
      </w:pPr>
      <w:r>
        <w:rPr>
          <w:rFonts w:ascii="Arial" w:cs="Arial" w:eastAsia="Arial" w:hAnsi="Arial"/>
          <w:b/>
          <w:bCs/>
          <w:color w:val="5A6475"/>
          <w:sz w:val="22"/>
          <w:szCs w:val="22"/>
        </w:rPr>
        <w:t xml:space="preserve">Prior Learning Claim Statement</w:t>
      </w:r>
    </w:p>
    <w:p>
      <w:pPr>
        <w:spacing w:after="120"/>
      </w:pPr>
      <w:r>
        <w:rPr>
          <w:rFonts w:ascii="Arial" w:cs="Arial" w:eastAsia="Arial" w:hAnsi="Arial"/>
          <w:sz w:val="22"/>
          <w:szCs w:val="22"/>
        </w:rPr>
        <w:t xml:space="preserve">Alexa Shuda has performed extensive independent legal research across Pennsylvania statutes, federal law, and case law in connection with active litigation matters. Her research informed filed documents, OOR appeal briefs, RTKL requests, and a federal §1983 complaint. She has located, read, and applied primary sources of law including statutes, regulations, and judicial decisions, and has cited authority using standard legal citation format in written submissions.</w:t>
      </w:r>
    </w:p>
    <w:p>
      <w:pPr>
        <w:pStyle w:val="Heading3"/>
        <w:spacing w:after="80" w:before="200"/>
      </w:pPr>
      <w:r>
        <w:rPr>
          <w:rFonts w:ascii="Arial" w:cs="Arial" w:eastAsia="Arial" w:hAnsi="Arial"/>
          <w:b/>
          <w:bCs/>
          <w:color w:val="5A6475"/>
          <w:sz w:val="22"/>
          <w:szCs w:val="22"/>
        </w:rPr>
        <w:t xml:space="preserve">Evidence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Evidence Item</w:t>
            </w:r>
          </w:p>
        </w:tc>
        <w:tc>
          <w:tcPr>
            <w:tcW w:type="dxa" w:w="42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Description / Competency Demonstrated</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Location / Folder</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23 Pa.C.S. §5337 Research</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Located and analyzed PA relocation statute; applied notice and consent requirements to active custody matter</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02_RELOCATION_VIOLATION/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42 U.S.C. §1983 Research</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Researched elements of civil rights claim; Monell liability doctrine; ATF Form 4473/35 Pa. §780-113 threshold analysis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04_HATBORO_1983_EDPA/</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OOR Appeal Briefs</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Legal briefs citing Right-to-Know Law (65 P.S. §§67.101 et seq.), OOR regulations, and supporting case law</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05_RTKL_OOR_APPEALS/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FERPA/IDEA Research</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Identified applicable federal education statutes; drafted enforcement correspondence citing specific CFR provisions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06_EDUCATION_FERPA_IDEA/</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Case Law Analysis</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Researched and applied judicial decisions including Monell v. Dep't of Social Services and PA Superior Court custody cases</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04_HATBORO_1983_EDPA/</w:t>
            </w:r>
          </w:p>
        </w:tc>
      </w:tr>
    </w:tbl>
    <w:p>
      <w:pPr>
        <w:spacing w:after="120"/>
      </w:pPr>
    </w:p>
    <w:p>
      <w:pPr>
        <w:pStyle w:val="Heading3"/>
        <w:spacing w:after="80" w:before="200"/>
      </w:pPr>
      <w:r>
        <w:rPr>
          <w:rFonts w:ascii="Arial" w:cs="Arial" w:eastAsia="Arial" w:hAnsi="Arial"/>
          <w:b/>
          <w:bCs/>
          <w:color w:val="5A6475"/>
          <w:sz w:val="22"/>
          <w:szCs w:val="22"/>
        </w:rPr>
        <w:t xml:space="preserve">Competency Narrative</w:t>
      </w:r>
    </w:p>
    <w:p>
      <w:pPr>
        <w:spacing w:after="120"/>
      </w:pPr>
      <w:r>
        <w:rPr>
          <w:rFonts w:ascii="Arial" w:cs="Arial" w:eastAsia="Arial" w:hAnsi="Arial"/>
          <w:sz w:val="22"/>
          <w:szCs w:val="22"/>
        </w:rPr>
        <w:t xml:space="preserve">Legal Research &amp; Writing I requires students to locate primary legal authority and present findings in organized written form. Alexa Shuda has performed this function repeatedly at a sophisticated level across multiple concurrent matters, demonstrating every core competency the course addresses.</w:t>
      </w:r>
    </w:p>
    <w:p>
      <w:pPr>
        <w:spacing w:after="120"/>
      </w:pPr>
      <w:r>
        <w:rPr>
          <w:rFonts w:ascii="Arial" w:cs="Arial" w:eastAsia="Arial" w:hAnsi="Arial"/>
          <w:sz w:val="22"/>
          <w:szCs w:val="22"/>
        </w:rPr>
        <w:t xml:space="preserve">She has conducted statutory research using both the Pennsylvania Consolidated Statutes and the United States Code, locating and applying 23 Pa.C.S. §5337 (relocation), 23 Pa.C.S. §5328 (best interests factors), 65 P.S. §67.101 et seq. (RTKL), 42 U.S.C. §1983, 20 U.S.C. §1232g (FERPA), 20 U.S.C. §1400 et seq. (IDEA), and 34 C.F.R. Parts 99 and 300, among others. This breadth of statutory research demonstrates command of both state and federal primary sources.</w:t>
      </w:r>
    </w:p>
    <w:p>
      <w:pPr>
        <w:spacing w:after="120"/>
      </w:pPr>
      <w:r>
        <w:rPr>
          <w:rFonts w:ascii="Arial" w:cs="Arial" w:eastAsia="Arial" w:hAnsi="Arial"/>
          <w:sz w:val="22"/>
          <w:szCs w:val="22"/>
        </w:rPr>
        <w:t xml:space="preserve">Her written work product — OOR appeal briefs, RTKL requests, and motion drafts — reflects the core LGL 110 writing skills: issue identification, citation of authority, organized argument, and factual precision. The OOR appeals required synthesizing statutory text, regulatory provisions, and prior OOR decisions into coherent legal argument presented to an administrative adjudicator — mirroring the written analytical product LGL 110 students are trained to produce.</w:t>
      </w:r>
    </w:p>
    <w:p>
      <w:pPr>
        <w:spacing w:after="120"/>
      </w:pPr>
      <w:r>
        <w:rPr>
          <w:rFonts w:ascii="Arial" w:cs="Arial" w:eastAsia="Arial" w:hAnsi="Arial"/>
          <w:sz w:val="22"/>
          <w:szCs w:val="22"/>
        </w:rPr>
        <w:t xml:space="preserve">Her research methodology — beginning with the statute, locating implementing regulations, then identifying judicial or administrative interpretation — reflects the structured legal research process that LGL 110 teaches.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0A1628" w:val="clear"/>
            <w:tcMar>
              <w:top w:type="dxa" w:w="120"/>
              <w:left w:type="dxa" w:w="200"/>
              <w:bottom w:type="dxa" w:w="120"/>
              <w:right w:type="dxa" w:w="120"/>
            </w:tcMar>
          </w:tcPr>
          <w:p>
            <w:r>
              <w:rPr>
                <w:rFonts w:ascii="Arial" w:cs="Arial" w:eastAsia="Arial" w:hAnsi="Arial"/>
                <w:b/>
                <w:bCs/>
                <w:color w:val="C9A84C"/>
                <w:sz w:val="20"/>
                <w:szCs w:val="20"/>
              </w:rPr>
              <w:t xml:space="preserve">LGL 120 | Major Core</w:t>
            </w:r>
          </w:p>
          <w:p>
            <w:r>
              <w:rPr>
                <w:rFonts w:ascii="Arial" w:cs="Arial" w:eastAsia="Arial" w:hAnsi="Arial"/>
                <w:b/>
                <w:bCs/>
                <w:color w:val="FFFFFF"/>
                <w:sz w:val="28"/>
                <w:szCs w:val="28"/>
              </w:rPr>
              <w:t xml:space="preserve">Legal Research &amp; Writing II</w:t>
            </w:r>
          </w:p>
        </w:tc>
        <w:tc>
          <w:tcPr>
            <w:tcW w:type="dxa" w:w="2360"/>
            <w:tcBorders>
              <w:top w:val="none" w:color="FFFFFF" w:sz="0"/>
              <w:left w:val="none" w:color="FFFFFF" w:sz="0"/>
              <w:bottom w:val="none" w:color="FFFFFF" w:sz="0"/>
              <w:right w:val="none" w:color="FFFFFF" w:sz="0"/>
            </w:tcBorders>
            <w:shd w:fill="C9A84C" w:val="clear"/>
            <w:tcMar>
              <w:top w:type="dxa" w:w="120"/>
              <w:left w:type="dxa" w:w="120"/>
              <w:bottom w:type="dxa" w:w="120"/>
              <w:right w:type="dxa" w:w="120"/>
            </w:tcMar>
            <w:vAlign w:val="center"/>
          </w:tcPr>
          <w:p>
            <w:pPr>
              <w:jc w:val="center"/>
            </w:pPr>
            <w:r>
              <w:rPr>
                <w:rFonts w:ascii="Arial" w:cs="Arial" w:eastAsia="Arial" w:hAnsi="Arial"/>
                <w:b/>
                <w:bCs/>
                <w:color w:val="0A1628"/>
                <w:sz w:val="24"/>
                <w:szCs w:val="24"/>
              </w:rPr>
              <w:t xml:space="preserve">3 Credits</w:t>
            </w:r>
          </w:p>
        </w:tc>
      </w:tr>
    </w:tbl>
    <w:p>
      <w:pPr>
        <w:spacing w:after="120"/>
      </w:pPr>
    </w:p>
    <w:p>
      <w:pPr>
        <w:pStyle w:val="Heading3"/>
        <w:spacing w:after="80" w:before="200"/>
      </w:pPr>
      <w:r>
        <w:rPr>
          <w:rFonts w:ascii="Arial" w:cs="Arial" w:eastAsia="Arial" w:hAnsi="Arial"/>
          <w:b/>
          <w:bCs/>
          <w:color w:val="5A6475"/>
          <w:sz w:val="22"/>
          <w:szCs w:val="22"/>
        </w:rPr>
        <w:t xml:space="preserve">DCCC Course Description</w:t>
      </w:r>
    </w:p>
    <w:p>
      <w:pPr>
        <w:spacing w:after="120"/>
      </w:pPr>
      <w:r>
        <w:rPr>
          <w:rFonts w:ascii="Arial" w:cs="Arial" w:eastAsia="Arial" w:hAnsi="Arial"/>
          <w:sz w:val="22"/>
          <w:szCs w:val="22"/>
        </w:rPr>
        <w:t xml:space="preserve">Advanced legal research and writing, including objective and persuasive legal memoranda, case briefs, and legal correspondence. Emphasis on legal analysis, applying law to facts (IRAC), and professional legal writing conventions.</w:t>
      </w:r>
    </w:p>
    <w:p>
      <w:pPr>
        <w:pStyle w:val="Heading3"/>
        <w:spacing w:after="80" w:before="200"/>
      </w:pPr>
      <w:r>
        <w:rPr>
          <w:rFonts w:ascii="Arial" w:cs="Arial" w:eastAsia="Arial" w:hAnsi="Arial"/>
          <w:b/>
          <w:bCs/>
          <w:color w:val="5A6475"/>
          <w:sz w:val="22"/>
          <w:szCs w:val="22"/>
        </w:rPr>
        <w:t xml:space="preserve">Prior Learning Claim Statement</w:t>
      </w:r>
    </w:p>
    <w:p>
      <w:pPr>
        <w:spacing w:after="120"/>
      </w:pPr>
      <w:r>
        <w:rPr>
          <w:rFonts w:ascii="Arial" w:cs="Arial" w:eastAsia="Arial" w:hAnsi="Arial"/>
          <w:sz w:val="22"/>
          <w:szCs w:val="22"/>
        </w:rPr>
        <w:t xml:space="preserve">Alexa Shuda has produced advanced legal writing across multiple formats — persuasive briefs, legal memoranda, demand letters, formal RTKL requests, and federal court complaint drafts. Her work consistently applies law to fact using structured legal analysis, demonstrates command of persuasive advocacy writing, and conforms to professional legal writing conventions.</w:t>
      </w:r>
    </w:p>
    <w:p>
      <w:pPr>
        <w:pStyle w:val="Heading3"/>
        <w:spacing w:after="80" w:before="200"/>
      </w:pPr>
      <w:r>
        <w:rPr>
          <w:rFonts w:ascii="Arial" w:cs="Arial" w:eastAsia="Arial" w:hAnsi="Arial"/>
          <w:b/>
          <w:bCs/>
          <w:color w:val="5A6475"/>
          <w:sz w:val="22"/>
          <w:szCs w:val="22"/>
        </w:rPr>
        <w:t xml:space="preserve">Evidence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Evidence Item</w:t>
            </w:r>
          </w:p>
        </w:tc>
        <w:tc>
          <w:tcPr>
            <w:tcW w:type="dxa" w:w="42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Description / Competency Demonstrated</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Location / Folder</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OOR Appeal Brief AP-2026-0500</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Full persuasive brief to PA Office of Open Records — statement of case, legal argument with citations, relief requested</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05_RTKL_OOR_APPEALS/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OOR Appeal Brief AP-2026-1243</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Second OOR appeal — distinct legal theories, additional exhibits, demonstrates advanced brief-writing competency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05_RTKL_OOR_APPEALS/</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§1983 Complaint Draft</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Federal complaint — IRAC analysis of each constitutional claim, Monell policy/custom allegations, damages prayer</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04_HATBORO_1983_EDPA/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RTKL Requests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Formal requests citing specific statutory provisions; escalating agency correspondence; administrative record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05_RTKL_OOR_APPEALS/</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PLA Portfolio</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This portfolio — advanced professional legal writing organized for a specific evaluative audience</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PLA_PORTFOLIO/</w:t>
            </w:r>
          </w:p>
        </w:tc>
      </w:tr>
    </w:tbl>
    <w:p>
      <w:pPr>
        <w:spacing w:after="120"/>
      </w:pPr>
    </w:p>
    <w:p>
      <w:pPr>
        <w:pStyle w:val="Heading3"/>
        <w:spacing w:after="80" w:before="200"/>
      </w:pPr>
      <w:r>
        <w:rPr>
          <w:rFonts w:ascii="Arial" w:cs="Arial" w:eastAsia="Arial" w:hAnsi="Arial"/>
          <w:b/>
          <w:bCs/>
          <w:color w:val="5A6475"/>
          <w:sz w:val="22"/>
          <w:szCs w:val="22"/>
        </w:rPr>
        <w:t xml:space="preserve">Competency Narrative</w:t>
      </w:r>
    </w:p>
    <w:p>
      <w:pPr>
        <w:spacing w:after="120"/>
      </w:pPr>
      <w:r>
        <w:rPr>
          <w:rFonts w:ascii="Arial" w:cs="Arial" w:eastAsia="Arial" w:hAnsi="Arial"/>
          <w:sz w:val="22"/>
          <w:szCs w:val="22"/>
        </w:rPr>
        <w:t xml:space="preserve">Legal Research &amp; Writing II builds on foundational skills to develop persuasive legal writing for a judicial or administrative audience. The hallmark outputs — persuasive briefs, office memoranda, and legal correspondence — are formats in which Alexa Shuda has produced substantial work product in real, high-stakes proceedings.</w:t>
      </w:r>
    </w:p>
    <w:p>
      <w:pPr>
        <w:spacing w:after="120"/>
      </w:pPr>
      <w:r>
        <w:rPr>
          <w:rFonts w:ascii="Arial" w:cs="Arial" w:eastAsia="Arial" w:hAnsi="Arial"/>
          <w:sz w:val="22"/>
          <w:szCs w:val="22"/>
        </w:rPr>
        <w:t xml:space="preserve">Her OOR appeal briefs demonstrate the complete persuasive brief structure: identification of parties and procedural posture, statement of facts, legal argument organized by issue with supporting authority, and request for specific relief. These briefs were filed with an actual administrative adjudicative body and prepared without assistance of counsel. The analysis within them applies the IRAC framework (Issue, Rule, Application, Conclusion) that is the organizing principle of advanced legal writing instruction.</w:t>
      </w:r>
    </w:p>
    <w:p>
      <w:pPr>
        <w:spacing w:after="120"/>
      </w:pPr>
      <w:r>
        <w:rPr>
          <w:rFonts w:ascii="Arial" w:cs="Arial" w:eastAsia="Arial" w:hAnsi="Arial"/>
          <w:sz w:val="22"/>
          <w:szCs w:val="22"/>
        </w:rPr>
        <w:t xml:space="preserve">Her draft federal complaint under 42 U.S.C. §1983 demonstrates the most demanding form of legal writing taught in LGL 120: issue-specific pleading that connects specific factual allegations to identified legal elements. The complaint requires identifying constitutional provisions at issue, stating elements of each claim, alleging facts satisfying each element, and articulating a theory of municipal liability under Monell v. Department of Social Services. This level of analytical precision in writing is LGL 120's target competency.</w:t>
      </w:r>
    </w:p>
    <w:p>
      <w:pPr>
        <w:spacing w:after="120"/>
      </w:pPr>
      <w:r>
        <w:rPr>
          <w:rFonts w:ascii="Arial" w:cs="Arial" w:eastAsia="Arial" w:hAnsi="Arial"/>
          <w:sz w:val="22"/>
          <w:szCs w:val="22"/>
        </w:rPr>
        <w:t xml:space="preserve">The PLA portfolio itself — organized, indexed, cross-referenced, and written for a specific evaluative audience — constitutes a form of advanced professional legal writing demonstrating clarity, structure, and audience awareness that LGL 120 develops.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0A1628" w:val="clear"/>
            <w:tcMar>
              <w:top w:type="dxa" w:w="120"/>
              <w:left w:type="dxa" w:w="200"/>
              <w:bottom w:type="dxa" w:w="120"/>
              <w:right w:type="dxa" w:w="120"/>
            </w:tcMar>
          </w:tcPr>
          <w:p>
            <w:r>
              <w:rPr>
                <w:rFonts w:ascii="Arial" w:cs="Arial" w:eastAsia="Arial" w:hAnsi="Arial"/>
                <w:b/>
                <w:bCs/>
                <w:color w:val="C9A84C"/>
                <w:sz w:val="20"/>
                <w:szCs w:val="20"/>
              </w:rPr>
              <w:t xml:space="preserve">LGL 130 | Major Core &amp; General Education (TC)</w:t>
            </w:r>
          </w:p>
          <w:p>
            <w:r>
              <w:rPr>
                <w:rFonts w:ascii="Arial" w:cs="Arial" w:eastAsia="Arial" w:hAnsi="Arial"/>
                <w:b/>
                <w:bCs/>
                <w:color w:val="FFFFFF"/>
                <w:sz w:val="28"/>
                <w:szCs w:val="28"/>
              </w:rPr>
              <w:t xml:space="preserve">Technology in the Law</w:t>
            </w:r>
          </w:p>
        </w:tc>
        <w:tc>
          <w:tcPr>
            <w:tcW w:type="dxa" w:w="2360"/>
            <w:tcBorders>
              <w:top w:val="none" w:color="FFFFFF" w:sz="0"/>
              <w:left w:val="none" w:color="FFFFFF" w:sz="0"/>
              <w:bottom w:val="none" w:color="FFFFFF" w:sz="0"/>
              <w:right w:val="none" w:color="FFFFFF" w:sz="0"/>
            </w:tcBorders>
            <w:shd w:fill="C9A84C" w:val="clear"/>
            <w:tcMar>
              <w:top w:type="dxa" w:w="120"/>
              <w:left w:type="dxa" w:w="120"/>
              <w:bottom w:type="dxa" w:w="120"/>
              <w:right w:type="dxa" w:w="120"/>
            </w:tcMar>
            <w:vAlign w:val="center"/>
          </w:tcPr>
          <w:p>
            <w:pPr>
              <w:jc w:val="center"/>
            </w:pPr>
            <w:r>
              <w:rPr>
                <w:rFonts w:ascii="Arial" w:cs="Arial" w:eastAsia="Arial" w:hAnsi="Arial"/>
                <w:b/>
                <w:bCs/>
                <w:color w:val="0A1628"/>
                <w:sz w:val="24"/>
                <w:szCs w:val="24"/>
              </w:rPr>
              <w:t xml:space="preserve">3 Credits</w:t>
            </w:r>
          </w:p>
        </w:tc>
      </w:tr>
    </w:tbl>
    <w:p>
      <w:pPr>
        <w:spacing w:after="120"/>
      </w:pPr>
    </w:p>
    <w:p>
      <w:pPr>
        <w:pStyle w:val="Heading3"/>
        <w:spacing w:after="80" w:before="200"/>
      </w:pPr>
      <w:r>
        <w:rPr>
          <w:rFonts w:ascii="Arial" w:cs="Arial" w:eastAsia="Arial" w:hAnsi="Arial"/>
          <w:b/>
          <w:bCs/>
          <w:color w:val="5A6475"/>
          <w:sz w:val="22"/>
          <w:szCs w:val="22"/>
        </w:rPr>
        <w:t xml:space="preserve">DCCC Course Description</w:t>
      </w:r>
    </w:p>
    <w:p>
      <w:pPr>
        <w:spacing w:after="120"/>
      </w:pPr>
      <w:r>
        <w:rPr>
          <w:rFonts w:ascii="Arial" w:cs="Arial" w:eastAsia="Arial" w:hAnsi="Arial"/>
          <w:sz w:val="22"/>
          <w:szCs w:val="22"/>
        </w:rPr>
        <w:t xml:space="preserve">Covers technology applications in legal practice: legal software, document management, electronic research, database systems, court filing systems, and emerging technology. Satisfies both the major Technology in the Law requirement and the General Education Information Technology (TC) attribute.</w:t>
      </w:r>
    </w:p>
    <w:p>
      <w:pPr>
        <w:pStyle w:val="Heading3"/>
        <w:spacing w:after="80" w:before="200"/>
      </w:pPr>
      <w:r>
        <w:rPr>
          <w:rFonts w:ascii="Arial" w:cs="Arial" w:eastAsia="Arial" w:hAnsi="Arial"/>
          <w:b/>
          <w:bCs/>
          <w:color w:val="5A6475"/>
          <w:sz w:val="22"/>
          <w:szCs w:val="22"/>
        </w:rPr>
        <w:t xml:space="preserve">Prior Learning Claim Statement</w:t>
      </w:r>
    </w:p>
    <w:p>
      <w:pPr>
        <w:spacing w:after="120"/>
      </w:pPr>
      <w:r>
        <w:rPr>
          <w:rFonts w:ascii="Arial" w:cs="Arial" w:eastAsia="Arial" w:hAnsi="Arial"/>
          <w:sz w:val="22"/>
          <w:szCs w:val="22"/>
        </w:rPr>
        <w:t xml:space="preserve">Alexa Shuda is the sole developer of LawLexx / Legalitize — a production-grade, full-stack legal AI SaaS platform built for law firms. Her technical competency in legal technology exceeds the scope of an introductory course and extends into professional-grade system architecture, legal database design, AI-assisted document drafting, and court system integration.</w:t>
      </w:r>
    </w:p>
    <w:p>
      <w:pPr>
        <w:pStyle w:val="Heading3"/>
        <w:spacing w:after="80" w:before="200"/>
      </w:pPr>
      <w:r>
        <w:rPr>
          <w:rFonts w:ascii="Arial" w:cs="Arial" w:eastAsia="Arial" w:hAnsi="Arial"/>
          <w:b/>
          <w:bCs/>
          <w:color w:val="5A6475"/>
          <w:sz w:val="22"/>
          <w:szCs w:val="22"/>
        </w:rPr>
        <w:t xml:space="preserve">Evidence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Evidence Item</w:t>
            </w:r>
          </w:p>
        </w:tc>
        <w:tc>
          <w:tcPr>
            <w:tcW w:type="dxa" w:w="42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Description / Competency Demonstrated</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Location / Folder</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LawLexx CLAUDE.md</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Full developer specification — Next.js 14, FastAPI, PostgreSQL, Anthropic Claude API, JWT auth, 251+ endpoints</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CIS_LGL130_TECH_PLATFORM/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COMPLETE_BUILD_STATUS.md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All modules operational: matter management, document drafting, billing, calendar, RTKL/FERPA, RAG, streaming AI</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CIS_LGL130_TECH_PLATFORM/</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COMPLETE_DEPLOYMENT_GUIDE.md</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Production deployment: Docker, Cloudflare Workers, Vercel, environment configuration</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CIS_LGL130_TECH_PLATFORM/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ADVANCED_LEGAL_ANALYTICS.md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AI analytics module — integration of ML/AI into legal practice management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CIS_LGL130_TECH_PLATFORM/</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Application Screenshots</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Live UI screenshots — login, dashboard, matter management demonstrating deployed system</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CIS_LGL130_TECH_PLATFORM/</w:t>
            </w:r>
          </w:p>
        </w:tc>
      </w:tr>
    </w:tbl>
    <w:p>
      <w:pPr>
        <w:spacing w:after="120"/>
      </w:pPr>
    </w:p>
    <w:p>
      <w:pPr>
        <w:pStyle w:val="Heading3"/>
        <w:spacing w:after="80" w:before="200"/>
      </w:pPr>
      <w:r>
        <w:rPr>
          <w:rFonts w:ascii="Arial" w:cs="Arial" w:eastAsia="Arial" w:hAnsi="Arial"/>
          <w:b/>
          <w:bCs/>
          <w:color w:val="5A6475"/>
          <w:sz w:val="22"/>
          <w:szCs w:val="22"/>
        </w:rPr>
        <w:t xml:space="preserve">Competency Narrative</w:t>
      </w:r>
    </w:p>
    <w:p>
      <w:pPr>
        <w:spacing w:after="120"/>
      </w:pPr>
      <w:r>
        <w:rPr>
          <w:rFonts w:ascii="Arial" w:cs="Arial" w:eastAsia="Arial" w:hAnsi="Arial"/>
          <w:sz w:val="22"/>
          <w:szCs w:val="22"/>
        </w:rPr>
        <w:t xml:space="preserve">LGL 130 addresses the use of technology in legal practice. Alexa Shuda's evidence is not merely competency in using legal technology tools — it is professional-level development of legal technology systems from the ground up.</w:t>
      </w:r>
    </w:p>
    <w:p>
      <w:pPr>
        <w:spacing w:after="120"/>
      </w:pPr>
      <w:r>
        <w:rPr>
          <w:rFonts w:ascii="Arial" w:cs="Arial" w:eastAsia="Arial" w:hAnsi="Arial"/>
          <w:sz w:val="22"/>
          <w:szCs w:val="22"/>
        </w:rPr>
        <w:t xml:space="preserve">LawLexx is a functioning legal AI platform with over 251 documented API endpoints, a full-stack architecture (Next.js 14 frontend, FastAPI backend, PostgreSQL database, Anthropic Claude API integration), and features mapping directly to every LGL 130 topic: document management (automated pleading generation via ReportLab PDF service), electronic legal research (CourtListener API for case law, GovInfo API for federal statutes), matter management (SQLAlchemy ORM models), and billing (Stripe integration).</w:t>
      </w:r>
    </w:p>
    <w:p>
      <w:pPr>
        <w:spacing w:after="120"/>
      </w:pPr>
      <w:r>
        <w:rPr>
          <w:rFonts w:ascii="Arial" w:cs="Arial" w:eastAsia="Arial" w:hAnsi="Arial"/>
          <w:sz w:val="22"/>
          <w:szCs w:val="22"/>
        </w:rPr>
        <w:t xml:space="preserve">The AI-assisted document drafting module demonstrates mastery of emerging legal technology at the frontier of the profession. The system uses retrieval-augmented generation (RAG) with the Anthropic Claude API to assist attorneys in drafting legal documents — precisely the kind of AI-in-law-practice topic modern legal technology curricula address. Her streaming AI chat endpoint, RTKL/FERPA compliance module, and legal analytics dashboard represent applied expertise in law and technology that LGL 130 is designed to introduce.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0A1628" w:val="clear"/>
            <w:tcMar>
              <w:top w:type="dxa" w:w="120"/>
              <w:left w:type="dxa" w:w="200"/>
              <w:bottom w:type="dxa" w:w="120"/>
              <w:right w:type="dxa" w:w="120"/>
            </w:tcMar>
          </w:tcPr>
          <w:p>
            <w:r>
              <w:rPr>
                <w:rFonts w:ascii="Arial" w:cs="Arial" w:eastAsia="Arial" w:hAnsi="Arial"/>
                <w:b/>
                <w:bCs/>
                <w:color w:val="C9A84C"/>
                <w:sz w:val="20"/>
                <w:szCs w:val="20"/>
              </w:rPr>
              <w:t xml:space="preserve">LGL 140 | Major Core</w:t>
            </w:r>
          </w:p>
          <w:p>
            <w:r>
              <w:rPr>
                <w:rFonts w:ascii="Arial" w:cs="Arial" w:eastAsia="Arial" w:hAnsi="Arial"/>
                <w:b/>
                <w:bCs/>
                <w:color w:val="FFFFFF"/>
                <w:sz w:val="28"/>
                <w:szCs w:val="28"/>
              </w:rPr>
              <w:t xml:space="preserve">Contract Law</w:t>
            </w:r>
          </w:p>
        </w:tc>
        <w:tc>
          <w:tcPr>
            <w:tcW w:type="dxa" w:w="2360"/>
            <w:tcBorders>
              <w:top w:val="none" w:color="FFFFFF" w:sz="0"/>
              <w:left w:val="none" w:color="FFFFFF" w:sz="0"/>
              <w:bottom w:val="none" w:color="FFFFFF" w:sz="0"/>
              <w:right w:val="none" w:color="FFFFFF" w:sz="0"/>
            </w:tcBorders>
            <w:shd w:fill="C9A84C" w:val="clear"/>
            <w:tcMar>
              <w:top w:type="dxa" w:w="120"/>
              <w:left w:type="dxa" w:w="120"/>
              <w:bottom w:type="dxa" w:w="120"/>
              <w:right w:type="dxa" w:w="120"/>
            </w:tcMar>
            <w:vAlign w:val="center"/>
          </w:tcPr>
          <w:p>
            <w:pPr>
              <w:jc w:val="center"/>
            </w:pPr>
            <w:r>
              <w:rPr>
                <w:rFonts w:ascii="Arial" w:cs="Arial" w:eastAsia="Arial" w:hAnsi="Arial"/>
                <w:b/>
                <w:bCs/>
                <w:color w:val="0A1628"/>
                <w:sz w:val="24"/>
                <w:szCs w:val="24"/>
              </w:rPr>
              <w:t xml:space="preserve">3 Credits</w:t>
            </w:r>
          </w:p>
        </w:tc>
      </w:tr>
    </w:tbl>
    <w:p>
      <w:pPr>
        <w:spacing w:after="120"/>
      </w:pPr>
    </w:p>
    <w:p>
      <w:pPr>
        <w:pStyle w:val="Heading3"/>
        <w:spacing w:after="80" w:before="200"/>
      </w:pPr>
      <w:r>
        <w:rPr>
          <w:rFonts w:ascii="Arial" w:cs="Arial" w:eastAsia="Arial" w:hAnsi="Arial"/>
          <w:b/>
          <w:bCs/>
          <w:color w:val="5A6475"/>
          <w:sz w:val="22"/>
          <w:szCs w:val="22"/>
        </w:rPr>
        <w:t xml:space="preserve">DCCC Course Description</w:t>
      </w:r>
    </w:p>
    <w:p>
      <w:pPr>
        <w:spacing w:after="120"/>
      </w:pPr>
      <w:r>
        <w:rPr>
          <w:rFonts w:ascii="Arial" w:cs="Arial" w:eastAsia="Arial" w:hAnsi="Arial"/>
          <w:sz w:val="22"/>
          <w:szCs w:val="22"/>
        </w:rPr>
        <w:t xml:space="preserve">Introduction to contract law: formation, consideration, capacity, mutual assent, breach, defenses, and remedies. Covers both common law contracts and the Uniform Commercial Code. Students learn to identify contractual issues and analyze agreements.</w:t>
      </w:r>
    </w:p>
    <w:p>
      <w:pPr>
        <w:pStyle w:val="Heading3"/>
        <w:spacing w:after="80" w:before="200"/>
      </w:pPr>
      <w:r>
        <w:rPr>
          <w:rFonts w:ascii="Arial" w:cs="Arial" w:eastAsia="Arial" w:hAnsi="Arial"/>
          <w:b/>
          <w:bCs/>
          <w:color w:val="5A6475"/>
          <w:sz w:val="22"/>
          <w:szCs w:val="22"/>
        </w:rPr>
        <w:t xml:space="preserve">Prior Learning Claim Statement</w:t>
      </w:r>
    </w:p>
    <w:p>
      <w:pPr>
        <w:spacing w:after="120"/>
      </w:pPr>
      <w:r>
        <w:rPr>
          <w:rFonts w:ascii="Arial" w:cs="Arial" w:eastAsia="Arial" w:hAnsi="Arial"/>
          <w:sz w:val="22"/>
          <w:szCs w:val="22"/>
        </w:rPr>
        <w:t xml:space="preserve">Alexa Shuda demonstrates contract law competency through formation and operation of a Pennsylvania LLC with governing agreements, analysis and enforcement of a court-ordered custody stipulation as a binding agreement, execution of a Durable Power of Attorney, and commercial agreements in connection with business operations. Her experience spans contract drafting, contract analysis, and contract enforcement in both commercial and family law contexts.</w:t>
      </w:r>
    </w:p>
    <w:p>
      <w:pPr>
        <w:pStyle w:val="Heading3"/>
        <w:spacing w:after="80" w:before="200"/>
      </w:pPr>
      <w:r>
        <w:rPr>
          <w:rFonts w:ascii="Arial" w:cs="Arial" w:eastAsia="Arial" w:hAnsi="Arial"/>
          <w:b/>
          <w:bCs/>
          <w:color w:val="5A6475"/>
          <w:sz w:val="22"/>
          <w:szCs w:val="22"/>
        </w:rPr>
        <w:t xml:space="preserve">Evidence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Evidence Item</w:t>
            </w:r>
          </w:p>
        </w:tc>
        <w:tc>
          <w:tcPr>
            <w:tcW w:type="dxa" w:w="42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Description / Competency Demonstrated</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Location / Folder</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Shuda Enterprises LLC Formation</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PA Certificate of Organization — entity formation; LLC operating agreement governs member rights and obligations</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BUS_ENTREPRENEURSHIP_LLC/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May 2018 Stipulated Custody Order</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Custody order entered by agreement — analyzed as binding contract; basis for contempt enforcement action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01_CUSTODY_CCP_2016-5628/</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Durable Power of Attorney</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Legal instrument demonstrating knowledge of legal capacity, authority, scope of delegation, and principal-agent principles</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08_POA_AUTHORITY/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Google Startups Cloud Program</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Commercial program agreement/application — demonstrates understanding of commercial contract terms and conditions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BUS_ENTREPRENEURSHIP_LLC/</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Legalitize Service Agreements</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SaaS subscription and terms of service framework — applied contract drafting in technology context</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CIS_LGL130_TECH_PLATFORM/</w:t>
            </w:r>
          </w:p>
        </w:tc>
      </w:tr>
    </w:tbl>
    <w:p>
      <w:pPr>
        <w:spacing w:after="120"/>
      </w:pPr>
    </w:p>
    <w:p>
      <w:pPr>
        <w:pStyle w:val="Heading3"/>
        <w:spacing w:after="80" w:before="200"/>
      </w:pPr>
      <w:r>
        <w:rPr>
          <w:rFonts w:ascii="Arial" w:cs="Arial" w:eastAsia="Arial" w:hAnsi="Arial"/>
          <w:b/>
          <w:bCs/>
          <w:color w:val="5A6475"/>
          <w:sz w:val="22"/>
          <w:szCs w:val="22"/>
        </w:rPr>
        <w:t xml:space="preserve">Competency Narrative</w:t>
      </w:r>
    </w:p>
    <w:p>
      <w:pPr>
        <w:spacing w:after="120"/>
      </w:pPr>
      <w:r>
        <w:rPr>
          <w:rFonts w:ascii="Arial" w:cs="Arial" w:eastAsia="Arial" w:hAnsi="Arial"/>
          <w:sz w:val="22"/>
          <w:szCs w:val="22"/>
        </w:rPr>
        <w:t xml:space="preserve">Contract law knowledge is demonstrated through multiple real-world encounters with binding legal agreements. The most significant contract analysis Alexa Shuda has performed relates to the May 2018 Stipulated Order in Delaware County CCP No. 2016-5628. A stipulated order is a contract between the parties ratified by the court; its terms create enforceable rights and obligations identical to those arising from a common law contract. Her analysis — identifying specific performance obligations, breach, and available remedies — demonstrates the issue-spotting and analysis skills taught in LGL 140.</w:t>
      </w:r>
    </w:p>
    <w:p>
      <w:pPr>
        <w:spacing w:after="120"/>
      </w:pPr>
      <w:r>
        <w:rPr>
          <w:rFonts w:ascii="Arial" w:cs="Arial" w:eastAsia="Arial" w:hAnsi="Arial"/>
          <w:sz w:val="22"/>
          <w:szCs w:val="22"/>
        </w:rPr>
        <w:t xml:space="preserve">Formation of Shuda Enterprises, LLC required understanding of the contractual nature of the LLC structure: the Certificate of Organization as a public record of formation, and the Operating Agreement as the governing contract among members. She understands that the LLC form derives its binding character from both statutory authority (15 Pa. C.S.) and the contractual agreement of members — a principle directly within LGL 140's scope.</w:t>
      </w:r>
    </w:p>
    <w:p>
      <w:pPr>
        <w:spacing w:after="120"/>
      </w:pPr>
      <w:r>
        <w:rPr>
          <w:rFonts w:ascii="Arial" w:cs="Arial" w:eastAsia="Arial" w:hAnsi="Arial"/>
          <w:sz w:val="22"/>
          <w:szCs w:val="22"/>
        </w:rPr>
        <w:t xml:space="preserve">The Durable Power of Attorney demonstrates understanding of agency as a contract principle: the capacity requirements for a valid POA, the scope of authority granted, the fiduciary duties imposed on the agent, and the limitations that flow from the principal-agent relationship. In executing legal actions under the POA, she has consistently identified the outer boundary of her delegated authority — a practical application of contract capacity and scope principles central to LGL 140.</w:t>
      </w:r>
    </w:p>
    <w:p>
      <w:pPr>
        <w:spacing w:after="120"/>
      </w:pPr>
      <w:r>
        <w:rPr>
          <w:rFonts w:ascii="Arial" w:cs="Arial" w:eastAsia="Arial" w:hAnsi="Arial"/>
          <w:sz w:val="22"/>
          <w:szCs w:val="22"/>
        </w:rPr>
        <w:t xml:space="preserve">Her development of the LawLexx SaaS platform required engagement with commercial contract concepts: terms of service agreements, API license agreements with Anthropic, Stripe, and CourtListener, and software-as-a-service subscription frameworks. These commercial agreements implicate Article 2 of the UCC (software licensing) and common law contract principles that LGL 140 addresses.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0A1628" w:val="clear"/>
            <w:tcMar>
              <w:top w:type="dxa" w:w="120"/>
              <w:left w:type="dxa" w:w="200"/>
              <w:bottom w:type="dxa" w:w="120"/>
              <w:right w:type="dxa" w:w="120"/>
            </w:tcMar>
          </w:tcPr>
          <w:p>
            <w:r>
              <w:rPr>
                <w:rFonts w:ascii="Arial" w:cs="Arial" w:eastAsia="Arial" w:hAnsi="Arial"/>
                <w:b/>
                <w:bCs/>
                <w:color w:val="C9A84C"/>
                <w:sz w:val="20"/>
                <w:szCs w:val="20"/>
              </w:rPr>
              <w:t xml:space="preserve">LGL 210 | Major Core</w:t>
            </w:r>
          </w:p>
          <w:p>
            <w:r>
              <w:rPr>
                <w:rFonts w:ascii="Arial" w:cs="Arial" w:eastAsia="Arial" w:hAnsi="Arial"/>
                <w:b/>
                <w:bCs/>
                <w:color w:val="FFFFFF"/>
                <w:sz w:val="28"/>
                <w:szCs w:val="28"/>
              </w:rPr>
              <w:t xml:space="preserve">Civil Litigation &amp; Tort Principles</w:t>
            </w:r>
          </w:p>
        </w:tc>
        <w:tc>
          <w:tcPr>
            <w:tcW w:type="dxa" w:w="2360"/>
            <w:tcBorders>
              <w:top w:val="none" w:color="FFFFFF" w:sz="0"/>
              <w:left w:val="none" w:color="FFFFFF" w:sz="0"/>
              <w:bottom w:val="none" w:color="FFFFFF" w:sz="0"/>
              <w:right w:val="none" w:color="FFFFFF" w:sz="0"/>
            </w:tcBorders>
            <w:shd w:fill="C9A84C" w:val="clear"/>
            <w:tcMar>
              <w:top w:type="dxa" w:w="120"/>
              <w:left w:type="dxa" w:w="120"/>
              <w:bottom w:type="dxa" w:w="120"/>
              <w:right w:type="dxa" w:w="120"/>
            </w:tcMar>
            <w:vAlign w:val="center"/>
          </w:tcPr>
          <w:p>
            <w:pPr>
              <w:jc w:val="center"/>
            </w:pPr>
            <w:r>
              <w:rPr>
                <w:rFonts w:ascii="Arial" w:cs="Arial" w:eastAsia="Arial" w:hAnsi="Arial"/>
                <w:b/>
                <w:bCs/>
                <w:color w:val="0A1628"/>
                <w:sz w:val="24"/>
                <w:szCs w:val="24"/>
              </w:rPr>
              <w:t xml:space="preserve">3 Credits</w:t>
            </w:r>
          </w:p>
        </w:tc>
      </w:tr>
    </w:tbl>
    <w:p>
      <w:pPr>
        <w:spacing w:after="120"/>
      </w:pPr>
    </w:p>
    <w:p>
      <w:pPr>
        <w:pStyle w:val="Heading3"/>
        <w:spacing w:after="80" w:before="200"/>
      </w:pPr>
      <w:r>
        <w:rPr>
          <w:rFonts w:ascii="Arial" w:cs="Arial" w:eastAsia="Arial" w:hAnsi="Arial"/>
          <w:b/>
          <w:bCs/>
          <w:color w:val="5A6475"/>
          <w:sz w:val="22"/>
          <w:szCs w:val="22"/>
        </w:rPr>
        <w:t xml:space="preserve">DCCC Course Description</w:t>
      </w:r>
    </w:p>
    <w:p>
      <w:pPr>
        <w:spacing w:after="120"/>
      </w:pPr>
      <w:r>
        <w:rPr>
          <w:rFonts w:ascii="Arial" w:cs="Arial" w:eastAsia="Arial" w:hAnsi="Arial"/>
          <w:sz w:val="22"/>
          <w:szCs w:val="22"/>
        </w:rPr>
        <w:t xml:space="preserve">Overview of civil litigation procedure in Pennsylvania and federal courts, including pleading, service of process, discovery, motions practice, and trial. Introduction to tort law: negligence, intentional torts, strict liability, and damages.</w:t>
      </w:r>
    </w:p>
    <w:p>
      <w:pPr>
        <w:pStyle w:val="Heading3"/>
        <w:spacing w:after="80" w:before="200"/>
      </w:pPr>
      <w:r>
        <w:rPr>
          <w:rFonts w:ascii="Arial" w:cs="Arial" w:eastAsia="Arial" w:hAnsi="Arial"/>
          <w:b/>
          <w:bCs/>
          <w:color w:val="5A6475"/>
          <w:sz w:val="22"/>
          <w:szCs w:val="22"/>
        </w:rPr>
        <w:t xml:space="preserve">Prior Learning Claim Statement</w:t>
      </w:r>
    </w:p>
    <w:p>
      <w:pPr>
        <w:spacing w:after="120"/>
      </w:pPr>
      <w:r>
        <w:rPr>
          <w:rFonts w:ascii="Arial" w:cs="Arial" w:eastAsia="Arial" w:hAnsi="Arial"/>
          <w:sz w:val="22"/>
          <w:szCs w:val="22"/>
        </w:rPr>
        <w:t xml:space="preserve">Alexa Shuda has directly participated in civil litigation proceedings across multiple courts and jurisdictions, demonstrating thorough knowledge of civil procedure and tort principles through active pro se practice in Delaware County Court of Common Pleas and preparation of a federal §1983 civil rights action.</w:t>
      </w:r>
    </w:p>
    <w:p>
      <w:pPr>
        <w:pStyle w:val="Heading3"/>
        <w:spacing w:after="80" w:before="200"/>
      </w:pPr>
      <w:r>
        <w:rPr>
          <w:rFonts w:ascii="Arial" w:cs="Arial" w:eastAsia="Arial" w:hAnsi="Arial"/>
          <w:b/>
          <w:bCs/>
          <w:color w:val="5A6475"/>
          <w:sz w:val="22"/>
          <w:szCs w:val="22"/>
        </w:rPr>
        <w:t xml:space="preserve">Evidence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Evidence Item</w:t>
            </w:r>
          </w:p>
        </w:tc>
        <w:tc>
          <w:tcPr>
            <w:tcW w:type="dxa" w:w="42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Description / Competency Demonstrated</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Location / Folder</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Delaware County CCP No. 2016-5628</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Active civil litigation — pleadings, motions, orders, contempt proceedings; full civil litigation lifecycle</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01_CUSTODY_CCP_2016-5628/</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§1983 Complaint Draft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Federal civil rights complaint — 4th and 14th Amendment torts; constitutional tort doctrine; Monell theory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04_HATBORO_1983_EDPA/</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OOR Appeal Filings</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Administrative civil proceeding — pleading, exhibits, legal argument before adjudicative body</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05_RTKL_OOR_APPEALS/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Service Documentation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Knowledge of service of process requirements in Pennsylvania civil proceedings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09_LEGAL_DRAFTS_FILED/</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Motion Practice</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Filed and analyzed motions in CCP matter; knowledge of pre-trial motion procedure</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09_LEGAL_DRAFTS_FILED/</w:t>
            </w:r>
          </w:p>
        </w:tc>
      </w:tr>
    </w:tbl>
    <w:p>
      <w:pPr>
        <w:spacing w:after="120"/>
      </w:pPr>
    </w:p>
    <w:p>
      <w:pPr>
        <w:pStyle w:val="Heading3"/>
        <w:spacing w:after="80" w:before="200"/>
      </w:pPr>
      <w:r>
        <w:rPr>
          <w:rFonts w:ascii="Arial" w:cs="Arial" w:eastAsia="Arial" w:hAnsi="Arial"/>
          <w:b/>
          <w:bCs/>
          <w:color w:val="5A6475"/>
          <w:sz w:val="22"/>
          <w:szCs w:val="22"/>
        </w:rPr>
        <w:t xml:space="preserve">Competency Narrative</w:t>
      </w:r>
    </w:p>
    <w:p>
      <w:pPr>
        <w:spacing w:after="120"/>
      </w:pPr>
      <w:r>
        <w:rPr>
          <w:rFonts w:ascii="Arial" w:cs="Arial" w:eastAsia="Arial" w:hAnsi="Arial"/>
          <w:sz w:val="22"/>
          <w:szCs w:val="22"/>
        </w:rPr>
        <w:t xml:space="preserve">Delaware County CCP No. 2016-5628 has been an active civil litigation matter for over nine years. Through direct participation as a pro se litigant and authorized agent, Alexa Shuda has acquired working knowledge of every stage of the civil litigation process: pleading requirements under Pennsylvania Rules of Civil Procedure, service of process standards, motions practice, contempt enforcement procedure, and the structure of appellate review.</w:t>
      </w:r>
    </w:p>
    <w:p>
      <w:pPr>
        <w:spacing w:after="120"/>
      </w:pPr>
      <w:r>
        <w:rPr>
          <w:rFonts w:ascii="Arial" w:cs="Arial" w:eastAsia="Arial" w:hAnsi="Arial"/>
          <w:sz w:val="22"/>
          <w:szCs w:val="22"/>
        </w:rPr>
        <w:t xml:space="preserve">Her §1983 complaint work has required deep engagement with federal civil procedure and constitutional tort doctrine. Constitutional torts under §1983 — Fourth Amendment unreasonable seizure, Fourteenth Amendment due process — are intentional torts committed by state actors under color of law. Her analysis of these claims demonstrates mastery of the intentional tort framework (duty, breach, causation, damages) applied in the constitutional context.</w:t>
      </w:r>
    </w:p>
    <w:p>
      <w:pPr>
        <w:spacing w:after="120"/>
      </w:pPr>
      <w:r>
        <w:rPr>
          <w:rFonts w:ascii="Arial" w:cs="Arial" w:eastAsia="Arial" w:hAnsi="Arial"/>
          <w:sz w:val="22"/>
          <w:szCs w:val="22"/>
        </w:rPr>
        <w:t xml:space="preserve">Her research into Monell v. Department of Social Services, 436 U.S. 658 (1978), demonstrates understanding of municipal liability as a form of respondeat superior doctrine — a tort principle within LGL 210's scope. Her RTKL/OOR proceedings further demonstrate civil procedure in the administrative context, mirroring the civil litigation framework at every stage.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0A1628" w:val="clear"/>
            <w:tcMar>
              <w:top w:type="dxa" w:w="120"/>
              <w:left w:type="dxa" w:w="200"/>
              <w:bottom w:type="dxa" w:w="120"/>
              <w:right w:type="dxa" w:w="120"/>
            </w:tcMar>
          </w:tcPr>
          <w:p>
            <w:r>
              <w:rPr>
                <w:rFonts w:ascii="Arial" w:cs="Arial" w:eastAsia="Arial" w:hAnsi="Arial"/>
                <w:b/>
                <w:bCs/>
                <w:color w:val="C9A84C"/>
                <w:sz w:val="20"/>
                <w:szCs w:val="20"/>
              </w:rPr>
              <w:t xml:space="preserve">LGL 211 | Major Core</w:t>
            </w:r>
          </w:p>
          <w:p>
            <w:r>
              <w:rPr>
                <w:rFonts w:ascii="Arial" w:cs="Arial" w:eastAsia="Arial" w:hAnsi="Arial"/>
                <w:b/>
                <w:bCs/>
                <w:color w:val="FFFFFF"/>
                <w:sz w:val="28"/>
                <w:szCs w:val="28"/>
              </w:rPr>
              <w:t xml:space="preserve">Civil Litigation &amp; Tort Applications</w:t>
            </w:r>
          </w:p>
        </w:tc>
        <w:tc>
          <w:tcPr>
            <w:tcW w:type="dxa" w:w="2360"/>
            <w:tcBorders>
              <w:top w:val="none" w:color="FFFFFF" w:sz="0"/>
              <w:left w:val="none" w:color="FFFFFF" w:sz="0"/>
              <w:bottom w:val="none" w:color="FFFFFF" w:sz="0"/>
              <w:right w:val="none" w:color="FFFFFF" w:sz="0"/>
            </w:tcBorders>
            <w:shd w:fill="C9A84C" w:val="clear"/>
            <w:tcMar>
              <w:top w:type="dxa" w:w="120"/>
              <w:left w:type="dxa" w:w="120"/>
              <w:bottom w:type="dxa" w:w="120"/>
              <w:right w:type="dxa" w:w="120"/>
            </w:tcMar>
            <w:vAlign w:val="center"/>
          </w:tcPr>
          <w:p>
            <w:pPr>
              <w:jc w:val="center"/>
            </w:pPr>
            <w:r>
              <w:rPr>
                <w:rFonts w:ascii="Arial" w:cs="Arial" w:eastAsia="Arial" w:hAnsi="Arial"/>
                <w:b/>
                <w:bCs/>
                <w:color w:val="0A1628"/>
                <w:sz w:val="24"/>
                <w:szCs w:val="24"/>
              </w:rPr>
              <w:t xml:space="preserve">3 Credits</w:t>
            </w:r>
          </w:p>
        </w:tc>
      </w:tr>
    </w:tbl>
    <w:p>
      <w:pPr>
        <w:spacing w:after="120"/>
      </w:pPr>
    </w:p>
    <w:p>
      <w:pPr>
        <w:pStyle w:val="Heading3"/>
        <w:spacing w:after="80" w:before="200"/>
      </w:pPr>
      <w:r>
        <w:rPr>
          <w:rFonts w:ascii="Arial" w:cs="Arial" w:eastAsia="Arial" w:hAnsi="Arial"/>
          <w:b/>
          <w:bCs/>
          <w:color w:val="5A6475"/>
          <w:sz w:val="22"/>
          <w:szCs w:val="22"/>
        </w:rPr>
        <w:t xml:space="preserve">DCCC Course Description</w:t>
      </w:r>
    </w:p>
    <w:p>
      <w:pPr>
        <w:spacing w:after="120"/>
      </w:pPr>
      <w:r>
        <w:rPr>
          <w:rFonts w:ascii="Arial" w:cs="Arial" w:eastAsia="Arial" w:hAnsi="Arial"/>
          <w:sz w:val="22"/>
          <w:szCs w:val="22"/>
        </w:rPr>
        <w:t xml:space="preserve">Application of civil litigation principles through simulation and case analysis. Students prepare pleadings, discovery requests, motions, and briefs; analyze tort cases; and develop litigation support skills. Emphasis on practical paralegal function in the civil litigation context.</w:t>
      </w:r>
    </w:p>
    <w:p>
      <w:pPr>
        <w:pStyle w:val="Heading3"/>
        <w:spacing w:after="80" w:before="200"/>
      </w:pPr>
      <w:r>
        <w:rPr>
          <w:rFonts w:ascii="Arial" w:cs="Arial" w:eastAsia="Arial" w:hAnsi="Arial"/>
          <w:b/>
          <w:bCs/>
          <w:color w:val="5A6475"/>
          <w:sz w:val="22"/>
          <w:szCs w:val="22"/>
        </w:rPr>
        <w:t xml:space="preserve">Prior Learning Claim Statement</w:t>
      </w:r>
    </w:p>
    <w:p>
      <w:pPr>
        <w:spacing w:after="120"/>
      </w:pPr>
      <w:r>
        <w:rPr>
          <w:rFonts w:ascii="Arial" w:cs="Arial" w:eastAsia="Arial" w:hAnsi="Arial"/>
          <w:sz w:val="22"/>
          <w:szCs w:val="22"/>
        </w:rPr>
        <w:t xml:space="preserve">Alexa Shuda has performed the full range of paralegal litigation support functions in active civil proceedings — not in simulation, but in real cases with actual legal consequences. She has organized evidence, drafted and filed pleadings, assembled exhibit binders, tracked court deadlines, and applied fact analysis to legal theories across multiple concurrent matters.</w:t>
      </w:r>
    </w:p>
    <w:p>
      <w:pPr>
        <w:pStyle w:val="Heading3"/>
        <w:spacing w:after="80" w:before="200"/>
      </w:pPr>
      <w:r>
        <w:rPr>
          <w:rFonts w:ascii="Arial" w:cs="Arial" w:eastAsia="Arial" w:hAnsi="Arial"/>
          <w:b/>
          <w:bCs/>
          <w:color w:val="5A6475"/>
          <w:sz w:val="22"/>
          <w:szCs w:val="22"/>
        </w:rPr>
        <w:t xml:space="preserve">Evidence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Evidence Item</w:t>
            </w:r>
          </w:p>
        </w:tc>
        <w:tc>
          <w:tcPr>
            <w:tcW w:type="dxa" w:w="42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Description / Competency Demonstrated</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Location / Folder</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Exhibit A-R Assembly (OOR)</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Assembled, indexed, and cited 18 exhibits for OOR appeal briefs — demonstrates paralegal evidence organization skills</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05_RTKL_OOR_APPEALS/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Withheld Visitation Log</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Chronological documentation of 23+ withheld parenting time weekends — litigation support fact chronology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03_CONTEMPT_EVIDENCE/</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MASTER_EVIDENCE_INDEX.md</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Master indexed catalog of all evidence across 1.2GB+ of materials — litigation file management</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PLA_PORTFOLIO/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§1983 Evidence Organization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IA records, call transcript, General Order 2.3.1, Dilks affidavit — assembled for federal complaint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04_HATBORO_1983_EDPA/</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Custody Timeline Documentation</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Chronological analysis of relocation violation evidence — key dates, supporting records, legal significance</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02_RELOCATION_VIOLATION/</w:t>
            </w:r>
          </w:p>
        </w:tc>
      </w:tr>
    </w:tbl>
    <w:p>
      <w:pPr>
        <w:spacing w:after="120"/>
      </w:pPr>
    </w:p>
    <w:p>
      <w:pPr>
        <w:pStyle w:val="Heading3"/>
        <w:spacing w:after="80" w:before="200"/>
      </w:pPr>
      <w:r>
        <w:rPr>
          <w:rFonts w:ascii="Arial" w:cs="Arial" w:eastAsia="Arial" w:hAnsi="Arial"/>
          <w:b/>
          <w:bCs/>
          <w:color w:val="5A6475"/>
          <w:sz w:val="22"/>
          <w:szCs w:val="22"/>
        </w:rPr>
        <w:t xml:space="preserve">Competency Narrative</w:t>
      </w:r>
    </w:p>
    <w:p>
      <w:pPr>
        <w:spacing w:after="120"/>
      </w:pPr>
      <w:r>
        <w:rPr>
          <w:rFonts w:ascii="Arial" w:cs="Arial" w:eastAsia="Arial" w:hAnsi="Arial"/>
          <w:sz w:val="22"/>
          <w:szCs w:val="22"/>
        </w:rPr>
        <w:t xml:space="preserve">LGL 211 is the applied companion to LGL 210 — developing the practical litigation support skills that paralegals perform daily: document management, evidence organization, pleading preparation, discovery support, and case chronology development. Alexa Shuda has performed each of these functions in live litigation.</w:t>
      </w:r>
    </w:p>
    <w:p>
      <w:pPr>
        <w:spacing w:after="120"/>
      </w:pPr>
      <w:r>
        <w:rPr>
          <w:rFonts w:ascii="Arial" w:cs="Arial" w:eastAsia="Arial" w:hAnsi="Arial"/>
          <w:sz w:val="22"/>
          <w:szCs w:val="22"/>
        </w:rPr>
        <w:t xml:space="preserve">Her assembly of Exhibits A through R for the OOR appeal is a textbook example of paralegal evidence organization: each exhibit was identified, labeled, cited in the legal brief with the appropriate exhibit designator, and compiled in a form presentable to an administrative adjudicator. The chronological documentation of withheld visitation dates — maintained as a running log with dates, expected/actual parenting time, and supporting mail tracking records — demonstrates the paralegal's role in fact development and chronology preparation.</w:t>
      </w:r>
    </w:p>
    <w:p>
      <w:pPr>
        <w:spacing w:after="120"/>
      </w:pPr>
      <w:r>
        <w:rPr>
          <w:rFonts w:ascii="Arial" w:cs="Arial" w:eastAsia="Arial" w:hAnsi="Arial"/>
          <w:sz w:val="22"/>
          <w:szCs w:val="22"/>
        </w:rPr>
        <w:t xml:space="preserve">The MASTER_EVIDENCE_INDEX.md — a cross-referenced index of over 1.2 gigabytes of evidence across twelve subject-matter folders — demonstrates the document management and litigation file organization skills that LGL 211 trains. A paralegal in a civil litigation firm would be expected to maintain exactly this kind of indexed, organized file system.</w:t>
      </w:r>
    </w:p>
    <w:p>
      <w:pPr>
        <w:spacing w:after="120"/>
      </w:pPr>
      <w:r>
        <w:rPr>
          <w:rFonts w:ascii="Arial" w:cs="Arial" w:eastAsia="Arial" w:hAnsi="Arial"/>
          <w:sz w:val="22"/>
          <w:szCs w:val="22"/>
        </w:rPr>
        <w:t xml:space="preserve">Her §1983 work required identifying which pieces of evidence (the Internal Affairs records, the Det. Woods call transcript, Chief Ruegg's chain-of-command email, HPD General Order 2.3.1) supported which legal elements of the §1983 claim — the mapping of evidence to legal theory that is the core analytical task LGL 211 develops. This is applied litigation support at a professional level.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0A1628" w:val="clear"/>
            <w:tcMar>
              <w:top w:type="dxa" w:w="120"/>
              <w:left w:type="dxa" w:w="200"/>
              <w:bottom w:type="dxa" w:w="120"/>
              <w:right w:type="dxa" w:w="120"/>
            </w:tcMar>
          </w:tcPr>
          <w:p>
            <w:r>
              <w:rPr>
                <w:rFonts w:ascii="Arial" w:cs="Arial" w:eastAsia="Arial" w:hAnsi="Arial"/>
                <w:b/>
                <w:bCs/>
                <w:color w:val="C9A84C"/>
                <w:sz w:val="20"/>
                <w:szCs w:val="20"/>
              </w:rPr>
              <w:t xml:space="preserve">LGL 199 | Major Core</w:t>
            </w:r>
          </w:p>
          <w:p>
            <w:r>
              <w:rPr>
                <w:rFonts w:ascii="Arial" w:cs="Arial" w:eastAsia="Arial" w:hAnsi="Arial"/>
                <w:b/>
                <w:bCs/>
                <w:color w:val="FFFFFF"/>
                <w:sz w:val="28"/>
                <w:szCs w:val="28"/>
              </w:rPr>
              <w:t xml:space="preserve">Legal Ethics / Legal Experience</w:t>
            </w:r>
          </w:p>
        </w:tc>
        <w:tc>
          <w:tcPr>
            <w:tcW w:type="dxa" w:w="2360"/>
            <w:tcBorders>
              <w:top w:val="none" w:color="FFFFFF" w:sz="0"/>
              <w:left w:val="none" w:color="FFFFFF" w:sz="0"/>
              <w:bottom w:val="none" w:color="FFFFFF" w:sz="0"/>
              <w:right w:val="none" w:color="FFFFFF" w:sz="0"/>
            </w:tcBorders>
            <w:shd w:fill="C9A84C" w:val="clear"/>
            <w:tcMar>
              <w:top w:type="dxa" w:w="120"/>
              <w:left w:type="dxa" w:w="120"/>
              <w:bottom w:type="dxa" w:w="120"/>
              <w:right w:type="dxa" w:w="120"/>
            </w:tcMar>
            <w:vAlign w:val="center"/>
          </w:tcPr>
          <w:p>
            <w:pPr>
              <w:jc w:val="center"/>
            </w:pPr>
            <w:r>
              <w:rPr>
                <w:rFonts w:ascii="Arial" w:cs="Arial" w:eastAsia="Arial" w:hAnsi="Arial"/>
                <w:b/>
                <w:bCs/>
                <w:color w:val="0A1628"/>
                <w:sz w:val="24"/>
                <w:szCs w:val="24"/>
              </w:rPr>
              <w:t xml:space="preserve">3 Credits</w:t>
            </w:r>
          </w:p>
        </w:tc>
      </w:tr>
    </w:tbl>
    <w:p>
      <w:pPr>
        <w:spacing w:after="120"/>
      </w:pPr>
    </w:p>
    <w:p>
      <w:pPr>
        <w:pStyle w:val="Heading3"/>
        <w:spacing w:after="80" w:before="200"/>
      </w:pPr>
      <w:r>
        <w:rPr>
          <w:rFonts w:ascii="Arial" w:cs="Arial" w:eastAsia="Arial" w:hAnsi="Arial"/>
          <w:b/>
          <w:bCs/>
          <w:color w:val="5A6475"/>
          <w:sz w:val="22"/>
          <w:szCs w:val="22"/>
        </w:rPr>
        <w:t xml:space="preserve">DCCC Course Description</w:t>
      </w:r>
    </w:p>
    <w:p>
      <w:pPr>
        <w:spacing w:after="120"/>
      </w:pPr>
      <w:r>
        <w:rPr>
          <w:rFonts w:ascii="Arial" w:cs="Arial" w:eastAsia="Arial" w:hAnsi="Arial"/>
          <w:sz w:val="22"/>
          <w:szCs w:val="22"/>
        </w:rPr>
        <w:t xml:space="preserve">Ethical rules governing legal professionals: unauthorized practice of law (UPL), confidentiality, conflict of interest, candor to the tribunal, and professional responsibility. Application of the Pennsylvania Rules of Professional Conduct to realistic scenarios.</w:t>
      </w:r>
    </w:p>
    <w:p>
      <w:pPr>
        <w:pStyle w:val="Heading3"/>
        <w:spacing w:after="80" w:before="200"/>
      </w:pPr>
      <w:r>
        <w:rPr>
          <w:rFonts w:ascii="Arial" w:cs="Arial" w:eastAsia="Arial" w:hAnsi="Arial"/>
          <w:b/>
          <w:bCs/>
          <w:color w:val="5A6475"/>
          <w:sz w:val="22"/>
          <w:szCs w:val="22"/>
        </w:rPr>
        <w:t xml:space="preserve">Prior Learning Claim Statement</w:t>
      </w:r>
    </w:p>
    <w:p>
      <w:pPr>
        <w:spacing w:after="120"/>
      </w:pPr>
      <w:r>
        <w:rPr>
          <w:rFonts w:ascii="Arial" w:cs="Arial" w:eastAsia="Arial" w:hAnsi="Arial"/>
          <w:sz w:val="22"/>
          <w:szCs w:val="22"/>
        </w:rPr>
        <w:t xml:space="preserve">Alexa Shuda has navigated complex ethical terrain in pro se and authorized-agent legal practice over five years, demonstrating applied knowledge of the Pennsylvania Rules of Professional Conduct — particularly UPL limitations, confidentiality obligations, candor to the tribunal, and the ethical dimensions of civil rights advocacy.</w:t>
      </w:r>
    </w:p>
    <w:p>
      <w:pPr>
        <w:pStyle w:val="Heading3"/>
        <w:spacing w:after="80" w:before="200"/>
      </w:pPr>
      <w:r>
        <w:rPr>
          <w:rFonts w:ascii="Arial" w:cs="Arial" w:eastAsia="Arial" w:hAnsi="Arial"/>
          <w:b/>
          <w:bCs/>
          <w:color w:val="5A6475"/>
          <w:sz w:val="22"/>
          <w:szCs w:val="22"/>
        </w:rPr>
        <w:t xml:space="preserve">Evidence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Evidence Item</w:t>
            </w:r>
          </w:p>
        </w:tc>
        <w:tc>
          <w:tcPr>
            <w:tcW w:type="dxa" w:w="42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Description / Competency Demonstrated</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Location / Folder</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Durable POA (Civil/Family Only)</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POA expressly limited to civil and family matters — demonstrates active UPL boundary identification and enforcement</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08_POA_AUTHORITY/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OOR Filings — Pro Se Capacity</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All filings clearly identify pro se/agent status; demonstrates candor to tribunal and transparency about representative capacity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05_RTKL_OOR_APPEALS/</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FERPA Advocacy Record</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FERPA enforcement correspondence demonstrates ethical handling of minors' confidential educational records</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06_EDUCATION_FERPA_IDEA/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Evidence Handling Protocols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Organized handling of sensitive legal records — demonstrates confidentiality awareness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07_EVIDENCE_EXHIBITS/</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§1983 Research — Ethical Dimension</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Research into civil rights claims required understanding of good-faith advocacy obligations and public accountability ethics</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04_HATBORO_1983_EDPA/</w:t>
            </w:r>
          </w:p>
        </w:tc>
      </w:tr>
    </w:tbl>
    <w:p>
      <w:pPr>
        <w:spacing w:after="120"/>
      </w:pPr>
    </w:p>
    <w:p>
      <w:pPr>
        <w:pStyle w:val="Heading3"/>
        <w:spacing w:after="80" w:before="200"/>
      </w:pPr>
      <w:r>
        <w:rPr>
          <w:rFonts w:ascii="Arial" w:cs="Arial" w:eastAsia="Arial" w:hAnsi="Arial"/>
          <w:b/>
          <w:bCs/>
          <w:color w:val="5A6475"/>
          <w:sz w:val="22"/>
          <w:szCs w:val="22"/>
        </w:rPr>
        <w:t xml:space="preserve">Competency Narrative</w:t>
      </w:r>
    </w:p>
    <w:p>
      <w:pPr>
        <w:spacing w:after="120"/>
      </w:pPr>
      <w:r>
        <w:rPr>
          <w:rFonts w:ascii="Arial" w:cs="Arial" w:eastAsia="Arial" w:hAnsi="Arial"/>
          <w:sz w:val="22"/>
          <w:szCs w:val="22"/>
        </w:rPr>
        <w:t xml:space="preserve">Legal ethics is not an abstract subject for Alexa Shuda — it is a constraint she has navigated every day in active legal practice. The most concrete demonstration of her ethical awareness is the scope of the Durable Power of Attorney she holds: expressly limited to civil and family matters. This exclusion reflects direct knowledge of the UPL rules, the jurisdictional limits of lay representative authority, and the professional responsibility principles that define the permissible scope of non-attorney legal assistance.</w:t>
      </w:r>
    </w:p>
    <w:p>
      <w:pPr>
        <w:spacing w:after="120"/>
      </w:pPr>
      <w:r>
        <w:rPr>
          <w:rFonts w:ascii="Arial" w:cs="Arial" w:eastAsia="Arial" w:hAnsi="Arial"/>
          <w:sz w:val="22"/>
          <w:szCs w:val="22"/>
        </w:rPr>
        <w:t xml:space="preserve">Candor to the tribunal is demonstrated throughout her filings. Her OOR appeal briefs identify her capacity clearly, present facts accurately, and acknowledge procedural posture without mischaracterization. This consistent transparency about her representative status reflects the principle that candor to an adjudicative body is non-negotiable under the Pennsylvania Rules of Professional Conduct.</w:t>
      </w:r>
    </w:p>
    <w:p>
      <w:pPr>
        <w:spacing w:after="120"/>
      </w:pPr>
      <w:r>
        <w:rPr>
          <w:rFonts w:ascii="Arial" w:cs="Arial" w:eastAsia="Arial" w:hAnsi="Arial"/>
          <w:sz w:val="22"/>
          <w:szCs w:val="22"/>
        </w:rPr>
        <w:t xml:space="preserve">Her handling of confidential materials — including sensitive records related to her minor children's educational and welfare matters — demonstrates awareness of confidentiality obligations analogous to those governing attorneys and paralegals under Rules 1.6 and 1.9. She has organized, stored, and submitted these materials in ways that protect the privacy interests of the children involved while preserving the evidentiary record.</w:t>
      </w:r>
    </w:p>
    <w:p>
      <w:pPr>
        <w:spacing w:after="120"/>
      </w:pPr>
      <w:r>
        <w:rPr>
          <w:rFonts w:ascii="Arial" w:cs="Arial" w:eastAsia="Arial" w:hAnsi="Arial"/>
          <w:sz w:val="22"/>
          <w:szCs w:val="22"/>
        </w:rPr>
        <w:t xml:space="preserve">Her civil rights litigation work also implicates the ethics of advocacy against government actors: the obligation to present claims in good faith (Rule 3.1), to investigate facts before alleging them (Rule 3.3), and to pursue interests without overreaching. Her approach to the §1983 matter — grounded in specific documentary evidence and specific factual allegations — reflects the ethical standard of good-faith, evidence-based advocacy that the Rules require.</w:t>
      </w:r>
    </w:p>
    <w:p>
      <w:pPr>
        <w:pStyle w:val="Heading1"/>
        <w:pageBreakBefore/>
        <w:pBdr>
          <w:bottom w:val="single" w:color="C9A84C" w:sz="8" w:space="4"/>
        </w:pBdr>
        <w:spacing w:after="200" w:before="0"/>
      </w:pPr>
      <w:r>
        <w:rPr>
          <w:rFonts w:ascii="Arial" w:cs="Arial" w:eastAsia="Arial" w:hAnsi="Arial"/>
          <w:b/>
          <w:bCs/>
          <w:color w:val="0A1628"/>
          <w:sz w:val="32"/>
          <w:szCs w:val="32"/>
        </w:rPr>
        <w:t xml:space="preserve">SECTION II: GENERAL EDUCATION (CALG) REQUIREMENTS</w:t>
      </w:r>
    </w:p>
    <w:p>
      <w:pPr>
        <w:spacing w:after="120"/>
      </w:pPr>
      <w:r>
        <w:rPr>
          <w:rFonts w:ascii="Arial" w:cs="Arial" w:eastAsia="Arial" w:hAnsi="Arial"/>
          <w:sz w:val="22"/>
          <w:szCs w:val="22"/>
        </w:rPr>
        <w:t xml:space="preserve">Note: LGL 130 (TC attribute) is addressed in Section I and satisfies both the major requirement and the General Education Information Technology requirement. The Natural/Physical Science Lab (SI) requirement is not claimed via PLA.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0A1628" w:val="clear"/>
            <w:tcMar>
              <w:top w:type="dxa" w:w="120"/>
              <w:left w:type="dxa" w:w="200"/>
              <w:bottom w:type="dxa" w:w="120"/>
              <w:right w:type="dxa" w:w="120"/>
            </w:tcMar>
          </w:tcPr>
          <w:p>
            <w:r>
              <w:rPr>
                <w:rFonts w:ascii="Arial" w:cs="Arial" w:eastAsia="Arial" w:hAnsi="Arial"/>
                <w:b/>
                <w:bCs/>
                <w:color w:val="C9A84C"/>
                <w:sz w:val="20"/>
                <w:szCs w:val="20"/>
              </w:rPr>
              <w:t xml:space="preserve">ENG 100 | General Education</w:t>
            </w:r>
          </w:p>
          <w:p>
            <w:r>
              <w:rPr>
                <w:rFonts w:ascii="Arial" w:cs="Arial" w:eastAsia="Arial" w:hAnsi="Arial"/>
                <w:b/>
                <w:bCs/>
                <w:color w:val="FFFFFF"/>
                <w:sz w:val="28"/>
                <w:szCs w:val="28"/>
              </w:rPr>
              <w:t xml:space="preserve">English Composition I</w:t>
            </w:r>
          </w:p>
        </w:tc>
        <w:tc>
          <w:tcPr>
            <w:tcW w:type="dxa" w:w="2360"/>
            <w:tcBorders>
              <w:top w:val="none" w:color="FFFFFF" w:sz="0"/>
              <w:left w:val="none" w:color="FFFFFF" w:sz="0"/>
              <w:bottom w:val="none" w:color="FFFFFF" w:sz="0"/>
              <w:right w:val="none" w:color="FFFFFF" w:sz="0"/>
            </w:tcBorders>
            <w:shd w:fill="C9A84C" w:val="clear"/>
            <w:tcMar>
              <w:top w:type="dxa" w:w="120"/>
              <w:left w:type="dxa" w:w="120"/>
              <w:bottom w:type="dxa" w:w="120"/>
              <w:right w:type="dxa" w:w="120"/>
            </w:tcMar>
            <w:vAlign w:val="center"/>
          </w:tcPr>
          <w:p>
            <w:pPr>
              <w:jc w:val="center"/>
            </w:pPr>
            <w:r>
              <w:rPr>
                <w:rFonts w:ascii="Arial" w:cs="Arial" w:eastAsia="Arial" w:hAnsi="Arial"/>
                <w:b/>
                <w:bCs/>
                <w:color w:val="0A1628"/>
                <w:sz w:val="24"/>
                <w:szCs w:val="24"/>
              </w:rPr>
              <w:t xml:space="preserve">3 Credits</w:t>
            </w:r>
          </w:p>
        </w:tc>
      </w:tr>
    </w:tbl>
    <w:p>
      <w:pPr>
        <w:spacing w:after="120"/>
      </w:pPr>
    </w:p>
    <w:p>
      <w:pPr>
        <w:pStyle w:val="Heading3"/>
        <w:spacing w:after="80" w:before="200"/>
      </w:pPr>
      <w:r>
        <w:rPr>
          <w:rFonts w:ascii="Arial" w:cs="Arial" w:eastAsia="Arial" w:hAnsi="Arial"/>
          <w:b/>
          <w:bCs/>
          <w:color w:val="5A6475"/>
          <w:sz w:val="22"/>
          <w:szCs w:val="22"/>
        </w:rPr>
        <w:t xml:space="preserve">DCCC Course Description</w:t>
      </w:r>
    </w:p>
    <w:p>
      <w:pPr>
        <w:spacing w:after="120"/>
      </w:pPr>
      <w:r>
        <w:rPr>
          <w:rFonts w:ascii="Arial" w:cs="Arial" w:eastAsia="Arial" w:hAnsi="Arial"/>
          <w:sz w:val="22"/>
          <w:szCs w:val="22"/>
        </w:rPr>
        <w:t xml:space="preserve">Introduction to college-level writing: the writing process, paragraph and essay development, research integration, grammar and mechanics, and formal academic writing conventions.</w:t>
      </w:r>
    </w:p>
    <w:p>
      <w:pPr>
        <w:pStyle w:val="Heading3"/>
        <w:spacing w:after="80" w:before="200"/>
      </w:pPr>
      <w:r>
        <w:rPr>
          <w:rFonts w:ascii="Arial" w:cs="Arial" w:eastAsia="Arial" w:hAnsi="Arial"/>
          <w:b/>
          <w:bCs/>
          <w:color w:val="5A6475"/>
          <w:sz w:val="22"/>
          <w:szCs w:val="22"/>
        </w:rPr>
        <w:t xml:space="preserve">Prior Learning Claim Statement</w:t>
      </w:r>
    </w:p>
    <w:p>
      <w:pPr>
        <w:spacing w:after="120"/>
      </w:pPr>
      <w:r>
        <w:rPr>
          <w:rFonts w:ascii="Arial" w:cs="Arial" w:eastAsia="Arial" w:hAnsi="Arial"/>
          <w:sz w:val="22"/>
          <w:szCs w:val="22"/>
        </w:rPr>
        <w:t xml:space="preserve">Alexa Shuda's competency in English Composition I is demonstrated by a sustained body of formal written work product produced in high-stakes legal, academic, and professional contexts — OOR appeal briefs, RTKL requests, custody filings, FERPA enforcement correspondence, and this PLA portfolio.</w:t>
      </w:r>
    </w:p>
    <w:p>
      <w:pPr>
        <w:pStyle w:val="Heading3"/>
        <w:spacing w:after="80" w:before="200"/>
      </w:pPr>
      <w:r>
        <w:rPr>
          <w:rFonts w:ascii="Arial" w:cs="Arial" w:eastAsia="Arial" w:hAnsi="Arial"/>
          <w:b/>
          <w:bCs/>
          <w:color w:val="5A6475"/>
          <w:sz w:val="22"/>
          <w:szCs w:val="22"/>
        </w:rPr>
        <w:t xml:space="preserve">Evidence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Evidence Item</w:t>
            </w:r>
          </w:p>
        </w:tc>
        <w:tc>
          <w:tcPr>
            <w:tcW w:type="dxa" w:w="42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Description / Competency Demonstrated</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Location / Folder</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OOR Appeal Briefs</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Formal persuasive writing — organized, cited, submitted to adjudicative body</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05_RTKL_OOR_APPEALS/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RTKL Requests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Formal institutional correspondence demonstrating writing conventions and professional register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05_RTKL_OOR_APPEALS/</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AmeriCorps Service Reports</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Federal program documentation — formal written reports produced during service terms</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00_GENERAL_STUDIES_EVIDENCE/AMERICORPS_NCCC/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Legal Correspondence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FERPA/IDEA enforcement letters to Mountain View School District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06_EDUCATION_FERPA_IDEA/</w:t>
            </w:r>
          </w:p>
        </w:tc>
      </w:tr>
    </w:tbl>
    <w:p>
      <w:pPr>
        <w:spacing w:after="120"/>
      </w:pPr>
    </w:p>
    <w:p>
      <w:pPr>
        <w:pStyle w:val="Heading3"/>
        <w:spacing w:after="80" w:before="200"/>
      </w:pPr>
      <w:r>
        <w:rPr>
          <w:rFonts w:ascii="Arial" w:cs="Arial" w:eastAsia="Arial" w:hAnsi="Arial"/>
          <w:b/>
          <w:bCs/>
          <w:color w:val="5A6475"/>
          <w:sz w:val="22"/>
          <w:szCs w:val="22"/>
        </w:rPr>
        <w:t xml:space="preserve">Competency Narrative</w:t>
      </w:r>
    </w:p>
    <w:p>
      <w:pPr>
        <w:spacing w:after="120"/>
      </w:pPr>
      <w:r>
        <w:rPr>
          <w:rFonts w:ascii="Arial" w:cs="Arial" w:eastAsia="Arial" w:hAnsi="Arial"/>
          <w:sz w:val="22"/>
          <w:szCs w:val="22"/>
        </w:rPr>
        <w:t xml:space="preserve">The writing skills central to ENG 100 — clarity of expression, organized argument, correct grammar and mechanics, evidence integration, and formal register — are present throughout Alexa Shuda's work product. Her OOR appeal briefs demonstrate organized expository writing: a statement of facts presenting information in logical order, a legal argument presenting a structured position supported by evidence, and a request for specific relief.</w:t>
      </w:r>
    </w:p>
    <w:p>
      <w:pPr>
        <w:spacing w:after="120"/>
      </w:pPr>
      <w:r>
        <w:rPr>
          <w:rFonts w:ascii="Arial" w:cs="Arial" w:eastAsia="Arial" w:hAnsi="Arial"/>
          <w:sz w:val="22"/>
          <w:szCs w:val="22"/>
        </w:rPr>
        <w:t xml:space="preserve">The RTKL requests demonstrate concise, formal correspondence written for an institutional audience. The custody filings demonstrate the ability to present complex factual narratives in an organized, legible form for a court reader. Across all these formats, her writing reflects command of English composition at the college level and beyond.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0A1628" w:val="clear"/>
            <w:tcMar>
              <w:top w:type="dxa" w:w="120"/>
              <w:left w:type="dxa" w:w="200"/>
              <w:bottom w:type="dxa" w:w="120"/>
              <w:right w:type="dxa" w:w="120"/>
            </w:tcMar>
          </w:tcPr>
          <w:p>
            <w:r>
              <w:rPr>
                <w:rFonts w:ascii="Arial" w:cs="Arial" w:eastAsia="Arial" w:hAnsi="Arial"/>
                <w:b/>
                <w:bCs/>
                <w:color w:val="C9A84C"/>
                <w:sz w:val="20"/>
                <w:szCs w:val="20"/>
              </w:rPr>
              <w:t xml:space="preserve">ENG 112 | General Education</w:t>
            </w:r>
          </w:p>
          <w:p>
            <w:r>
              <w:rPr>
                <w:rFonts w:ascii="Arial" w:cs="Arial" w:eastAsia="Arial" w:hAnsi="Arial"/>
                <w:b/>
                <w:bCs/>
                <w:color w:val="FFFFFF"/>
                <w:sz w:val="28"/>
                <w:szCs w:val="28"/>
              </w:rPr>
              <w:t xml:space="preserve">Writing About Literature / Advanced Writing</w:t>
            </w:r>
          </w:p>
        </w:tc>
        <w:tc>
          <w:tcPr>
            <w:tcW w:type="dxa" w:w="2360"/>
            <w:tcBorders>
              <w:top w:val="none" w:color="FFFFFF" w:sz="0"/>
              <w:left w:val="none" w:color="FFFFFF" w:sz="0"/>
              <w:bottom w:val="none" w:color="FFFFFF" w:sz="0"/>
              <w:right w:val="none" w:color="FFFFFF" w:sz="0"/>
            </w:tcBorders>
            <w:shd w:fill="C9A84C" w:val="clear"/>
            <w:tcMar>
              <w:top w:type="dxa" w:w="120"/>
              <w:left w:type="dxa" w:w="120"/>
              <w:bottom w:type="dxa" w:w="120"/>
              <w:right w:type="dxa" w:w="120"/>
            </w:tcMar>
            <w:vAlign w:val="center"/>
          </w:tcPr>
          <w:p>
            <w:pPr>
              <w:jc w:val="center"/>
            </w:pPr>
            <w:r>
              <w:rPr>
                <w:rFonts w:ascii="Arial" w:cs="Arial" w:eastAsia="Arial" w:hAnsi="Arial"/>
                <w:b/>
                <w:bCs/>
                <w:color w:val="0A1628"/>
                <w:sz w:val="24"/>
                <w:szCs w:val="24"/>
              </w:rPr>
              <w:t xml:space="preserve">3 Credits</w:t>
            </w:r>
          </w:p>
        </w:tc>
      </w:tr>
    </w:tbl>
    <w:p>
      <w:pPr>
        <w:spacing w:after="120"/>
      </w:pPr>
    </w:p>
    <w:p>
      <w:pPr>
        <w:pStyle w:val="Heading3"/>
        <w:spacing w:after="80" w:before="200"/>
      </w:pPr>
      <w:r>
        <w:rPr>
          <w:rFonts w:ascii="Arial" w:cs="Arial" w:eastAsia="Arial" w:hAnsi="Arial"/>
          <w:b/>
          <w:bCs/>
          <w:color w:val="5A6475"/>
          <w:sz w:val="22"/>
          <w:szCs w:val="22"/>
        </w:rPr>
        <w:t xml:space="preserve">DCCC Course Description</w:t>
      </w:r>
    </w:p>
    <w:p>
      <w:pPr>
        <w:spacing w:after="120"/>
      </w:pPr>
      <w:r>
        <w:rPr>
          <w:rFonts w:ascii="Arial" w:cs="Arial" w:eastAsia="Arial" w:hAnsi="Arial"/>
          <w:sz w:val="22"/>
          <w:szCs w:val="22"/>
        </w:rPr>
        <w:t xml:space="preserve">Advanced composition with emphasis on analytical writing, close reading, and writing about texts. Students analyze and interpret written material and communicate findings in formal academic writing.</w:t>
      </w:r>
    </w:p>
    <w:p>
      <w:pPr>
        <w:pStyle w:val="Heading3"/>
        <w:spacing w:after="80" w:before="200"/>
      </w:pPr>
      <w:r>
        <w:rPr>
          <w:rFonts w:ascii="Arial" w:cs="Arial" w:eastAsia="Arial" w:hAnsi="Arial"/>
          <w:b/>
          <w:bCs/>
          <w:color w:val="5A6475"/>
          <w:sz w:val="22"/>
          <w:szCs w:val="22"/>
        </w:rPr>
        <w:t xml:space="preserve">Prior Learning Claim Statement</w:t>
      </w:r>
    </w:p>
    <w:p>
      <w:pPr>
        <w:spacing w:after="120"/>
      </w:pPr>
      <w:r>
        <w:rPr>
          <w:rFonts w:ascii="Arial" w:cs="Arial" w:eastAsia="Arial" w:hAnsi="Arial"/>
          <w:sz w:val="22"/>
          <w:szCs w:val="22"/>
        </w:rPr>
        <w:t xml:space="preserve">ENG 112 develops advanced analytical writing ability — particularly close reading of texts and analytical written response. Alexa Shuda's most direct evidence is the 251-file technical documentation suite produced for LawLexx / Legalitize, and the analytical legal writing in her OOR briefs and §1983 complaint.</w:t>
      </w:r>
    </w:p>
    <w:p>
      <w:pPr>
        <w:pStyle w:val="Heading3"/>
        <w:spacing w:after="80" w:before="200"/>
      </w:pPr>
      <w:r>
        <w:rPr>
          <w:rFonts w:ascii="Arial" w:cs="Arial" w:eastAsia="Arial" w:hAnsi="Arial"/>
          <w:b/>
          <w:bCs/>
          <w:color w:val="5A6475"/>
          <w:sz w:val="22"/>
          <w:szCs w:val="22"/>
        </w:rPr>
        <w:t xml:space="preserve">Evidence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Evidence Item</w:t>
            </w:r>
          </w:p>
        </w:tc>
        <w:tc>
          <w:tcPr>
            <w:tcW w:type="dxa" w:w="42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Description / Competency Demonstrated</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Location / Folder</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LawLexx Documentation Suite</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251 .md documentation files — technical analytical writing requiring precision and clear professional prose</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CIS_LGL130_TECH_PLATFORM/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OOR Legal Briefs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Analytical legal writing — reading statutes and decisions, extracting analysis, producing argument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05_RTKL_OOR_APPEALS/</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PLA Portfolio</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This portfolio — advanced analytical writing for academic assessment audience, integrating evidence and argument</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PLA_PORTFOLIO/</w:t>
            </w:r>
          </w:p>
        </w:tc>
      </w:tr>
    </w:tbl>
    <w:p>
      <w:pPr>
        <w:spacing w:after="120"/>
      </w:pPr>
    </w:p>
    <w:p>
      <w:pPr>
        <w:pStyle w:val="Heading3"/>
        <w:spacing w:after="80" w:before="200"/>
      </w:pPr>
      <w:r>
        <w:rPr>
          <w:rFonts w:ascii="Arial" w:cs="Arial" w:eastAsia="Arial" w:hAnsi="Arial"/>
          <w:b/>
          <w:bCs/>
          <w:color w:val="5A6475"/>
          <w:sz w:val="22"/>
          <w:szCs w:val="22"/>
        </w:rPr>
        <w:t xml:space="preserve">Competency Narrative</w:t>
      </w:r>
    </w:p>
    <w:p>
      <w:pPr>
        <w:spacing w:after="120"/>
      </w:pPr>
      <w:r>
        <w:rPr>
          <w:rFonts w:ascii="Arial" w:cs="Arial" w:eastAsia="Arial" w:hAnsi="Arial"/>
          <w:sz w:val="22"/>
          <w:szCs w:val="22"/>
        </w:rPr>
        <w:t xml:space="preserve">Her legal briefs and memoranda demonstrate ENG 112-level analytical writing: each brief requires close reading of source texts (statutes, regulations, court decisions), extraction and analysis of relevant holdings or provisions, and production of an analytical argument applying those sources to her facts — the close-reading-to-analytical-writing pipeline that ENG 112 trains.</w:t>
      </w:r>
    </w:p>
    <w:p>
      <w:pPr>
        <w:spacing w:after="120"/>
      </w:pPr>
      <w:r>
        <w:rPr>
          <w:rFonts w:ascii="Arial" w:cs="Arial" w:eastAsia="Arial" w:hAnsi="Arial"/>
          <w:sz w:val="22"/>
          <w:szCs w:val="22"/>
        </w:rPr>
        <w:t xml:space="preserve">The 251-file LawLexx documentation suite represents analytical writing at a professional technical level: close reading of code and system architecture, translation of complex technical information into clear written explanations, and structured analytical documents for a professional audience. This documentation body constitutes a substantial portfolio of advanced writing.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0A1628" w:val="clear"/>
            <w:tcMar>
              <w:top w:type="dxa" w:w="120"/>
              <w:left w:type="dxa" w:w="200"/>
              <w:bottom w:type="dxa" w:w="120"/>
              <w:right w:type="dxa" w:w="120"/>
            </w:tcMar>
          </w:tcPr>
          <w:p>
            <w:r>
              <w:rPr>
                <w:rFonts w:ascii="Arial" w:cs="Arial" w:eastAsia="Arial" w:hAnsi="Arial"/>
                <w:b/>
                <w:bCs/>
                <w:color w:val="C9A84C"/>
                <w:sz w:val="20"/>
                <w:szCs w:val="20"/>
              </w:rPr>
              <w:t xml:space="preserve">BUS 104 | General Education (QR)</w:t>
            </w:r>
          </w:p>
          <w:p>
            <w:r>
              <w:rPr>
                <w:rFonts w:ascii="Arial" w:cs="Arial" w:eastAsia="Arial" w:hAnsi="Arial"/>
                <w:b/>
                <w:bCs/>
                <w:color w:val="FFFFFF"/>
                <w:sz w:val="28"/>
                <w:szCs w:val="28"/>
              </w:rPr>
              <w:t xml:space="preserve">Business Mathematics / Quantitative Reasoning</w:t>
            </w:r>
          </w:p>
        </w:tc>
        <w:tc>
          <w:tcPr>
            <w:tcW w:type="dxa" w:w="2360"/>
            <w:tcBorders>
              <w:top w:val="none" w:color="FFFFFF" w:sz="0"/>
              <w:left w:val="none" w:color="FFFFFF" w:sz="0"/>
              <w:bottom w:val="none" w:color="FFFFFF" w:sz="0"/>
              <w:right w:val="none" w:color="FFFFFF" w:sz="0"/>
            </w:tcBorders>
            <w:shd w:fill="C9A84C" w:val="clear"/>
            <w:tcMar>
              <w:top w:type="dxa" w:w="120"/>
              <w:left w:type="dxa" w:w="120"/>
              <w:bottom w:type="dxa" w:w="120"/>
              <w:right w:type="dxa" w:w="120"/>
            </w:tcMar>
            <w:vAlign w:val="center"/>
          </w:tcPr>
          <w:p>
            <w:pPr>
              <w:jc w:val="center"/>
            </w:pPr>
            <w:r>
              <w:rPr>
                <w:rFonts w:ascii="Arial" w:cs="Arial" w:eastAsia="Arial" w:hAnsi="Arial"/>
                <w:b/>
                <w:bCs/>
                <w:color w:val="0A1628"/>
                <w:sz w:val="24"/>
                <w:szCs w:val="24"/>
              </w:rPr>
              <w:t xml:space="preserve">3 Credits</w:t>
            </w:r>
          </w:p>
        </w:tc>
      </w:tr>
    </w:tbl>
    <w:p>
      <w:pPr>
        <w:spacing w:after="120"/>
      </w:pPr>
    </w:p>
    <w:p>
      <w:pPr>
        <w:pStyle w:val="Heading3"/>
        <w:spacing w:after="80" w:before="200"/>
      </w:pPr>
      <w:r>
        <w:rPr>
          <w:rFonts w:ascii="Arial" w:cs="Arial" w:eastAsia="Arial" w:hAnsi="Arial"/>
          <w:b/>
          <w:bCs/>
          <w:color w:val="5A6475"/>
          <w:sz w:val="22"/>
          <w:szCs w:val="22"/>
        </w:rPr>
        <w:t xml:space="preserve">DCCC Course Description</w:t>
      </w:r>
    </w:p>
    <w:p>
      <w:pPr>
        <w:spacing w:after="120"/>
      </w:pPr>
      <w:r>
        <w:rPr>
          <w:rFonts w:ascii="Arial" w:cs="Arial" w:eastAsia="Arial" w:hAnsi="Arial"/>
          <w:sz w:val="22"/>
          <w:szCs w:val="22"/>
        </w:rPr>
        <w:t xml:space="preserve">Applied mathematics for business and professional contexts: percentages, ratios, financial calculations, data interpretation, and quantitative problem-solving. Satisfies the Quantitative Reasoning (QR) General Education attribute.</w:t>
      </w:r>
    </w:p>
    <w:p>
      <w:pPr>
        <w:pStyle w:val="Heading3"/>
        <w:spacing w:after="80" w:before="200"/>
      </w:pPr>
      <w:r>
        <w:rPr>
          <w:rFonts w:ascii="Arial" w:cs="Arial" w:eastAsia="Arial" w:hAnsi="Arial"/>
          <w:b/>
          <w:bCs/>
          <w:color w:val="5A6475"/>
          <w:sz w:val="22"/>
          <w:szCs w:val="22"/>
        </w:rPr>
        <w:t xml:space="preserve">Prior Learning Claim Statement</w:t>
      </w:r>
    </w:p>
    <w:p>
      <w:pPr>
        <w:spacing w:after="120"/>
      </w:pPr>
      <w:r>
        <w:rPr>
          <w:rFonts w:ascii="Arial" w:cs="Arial" w:eastAsia="Arial" w:hAnsi="Arial"/>
          <w:sz w:val="22"/>
          <w:szCs w:val="22"/>
        </w:rPr>
        <w:t xml:space="preserve">Quantitative reasoning competency is demonstrated through business management and financial operations in connection with Shuda Enterprises, LLC and the LawLexx platform — including financial structure analysis, technology infrastructure cost management, and implementation of billing and pricing systems.</w:t>
      </w:r>
    </w:p>
    <w:p>
      <w:pPr>
        <w:pStyle w:val="Heading3"/>
        <w:spacing w:after="80" w:before="200"/>
      </w:pPr>
      <w:r>
        <w:rPr>
          <w:rFonts w:ascii="Arial" w:cs="Arial" w:eastAsia="Arial" w:hAnsi="Arial"/>
          <w:b/>
          <w:bCs/>
          <w:color w:val="5A6475"/>
          <w:sz w:val="22"/>
          <w:szCs w:val="22"/>
        </w:rPr>
        <w:t xml:space="preserve">Evidence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Evidence Item</w:t>
            </w:r>
          </w:p>
        </w:tc>
        <w:tc>
          <w:tcPr>
            <w:tcW w:type="dxa" w:w="42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Description / Competency Demonstrated</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Location / Folder</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Shuda Enterprises LLC Documents</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Business entity — financial structure, cost management, LLC expense and revenue analysis</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BUS_ENTREPRENEURSHIP_LLC/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LawLexx Billing Module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Implemented Stripe-based billing: pricing calculations, usage metering, invoice generation — applied quantitative reasoning</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CIS_LGL130_TECH_PLATFORM/</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Google Startups Application</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Cloud resource cost analysis and allocation in startup program application context</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BUS_ENTREPRENEURSHIP_LLC/</w:t>
            </w:r>
          </w:p>
        </w:tc>
      </w:tr>
    </w:tbl>
    <w:p>
      <w:pPr>
        <w:spacing w:after="120"/>
      </w:pPr>
    </w:p>
    <w:p>
      <w:pPr>
        <w:pStyle w:val="Heading3"/>
        <w:spacing w:after="80" w:before="200"/>
      </w:pPr>
      <w:r>
        <w:rPr>
          <w:rFonts w:ascii="Arial" w:cs="Arial" w:eastAsia="Arial" w:hAnsi="Arial"/>
          <w:b/>
          <w:bCs/>
          <w:color w:val="5A6475"/>
          <w:sz w:val="22"/>
          <w:szCs w:val="22"/>
        </w:rPr>
        <w:t xml:space="preserve">Competency Narrative</w:t>
      </w:r>
    </w:p>
    <w:p>
      <w:pPr>
        <w:spacing w:after="120"/>
      </w:pPr>
      <w:r>
        <w:rPr>
          <w:rFonts w:ascii="Arial" w:cs="Arial" w:eastAsia="Arial" w:hAnsi="Arial"/>
          <w:sz w:val="22"/>
          <w:szCs w:val="22"/>
        </w:rPr>
        <w:t xml:space="preserve">LLC financial management requires ongoing quantitative work: understanding the financial structure of the entity (contributions, distributions, profit/loss allocation), calculating and tracking business expenses, managing technology infrastructure costs (cloud hosting, API usage), and analyzing the financial viability of the LawLexx platform.</w:t>
      </w:r>
    </w:p>
    <w:p>
      <w:pPr>
        <w:spacing w:after="120"/>
      </w:pPr>
      <w:r>
        <w:rPr>
          <w:rFonts w:ascii="Arial" w:cs="Arial" w:eastAsia="Arial" w:hAnsi="Arial"/>
          <w:sz w:val="22"/>
          <w:szCs w:val="22"/>
        </w:rPr>
        <w:t xml:space="preserve">The billing module within LawLexx — built using Stripe's financial API — required implementing pricing calculations, usage metering, and invoice generation logic. These implementations required applied quantitative reasoning in a software and business context, demonstrating the real-world application of the mathematical principles BUS 104 addresses.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0A1628" w:val="clear"/>
            <w:tcMar>
              <w:top w:type="dxa" w:w="120"/>
              <w:left w:type="dxa" w:w="200"/>
              <w:bottom w:type="dxa" w:w="120"/>
              <w:right w:type="dxa" w:w="120"/>
            </w:tcMar>
          </w:tcPr>
          <w:p>
            <w:r>
              <w:rPr>
                <w:rFonts w:ascii="Arial" w:cs="Arial" w:eastAsia="Arial" w:hAnsi="Arial"/>
                <w:b/>
                <w:bCs/>
                <w:color w:val="C9A84C"/>
                <w:sz w:val="20"/>
                <w:szCs w:val="20"/>
              </w:rPr>
              <w:t xml:space="preserve">SI Lab Science | General Education (SI)</w:t>
            </w:r>
          </w:p>
          <w:p>
            <w:r>
              <w:rPr>
                <w:rFonts w:ascii="Arial" w:cs="Arial" w:eastAsia="Arial" w:hAnsi="Arial"/>
                <w:b/>
                <w:bCs/>
                <w:color w:val="FFFFFF"/>
                <w:sz w:val="28"/>
                <w:szCs w:val="28"/>
              </w:rPr>
              <w:t xml:space="preserve">Natural/Physical Science Lab — NOT CLAIMED VIA PLA</w:t>
            </w:r>
          </w:p>
        </w:tc>
        <w:tc>
          <w:tcPr>
            <w:tcW w:type="dxa" w:w="2360"/>
            <w:tcBorders>
              <w:top w:val="none" w:color="FFFFFF" w:sz="0"/>
              <w:left w:val="none" w:color="FFFFFF" w:sz="0"/>
              <w:bottom w:val="none" w:color="FFFFFF" w:sz="0"/>
              <w:right w:val="none" w:color="FFFFFF" w:sz="0"/>
            </w:tcBorders>
            <w:shd w:fill="C9A84C" w:val="clear"/>
            <w:tcMar>
              <w:top w:type="dxa" w:w="120"/>
              <w:left w:type="dxa" w:w="120"/>
              <w:bottom w:type="dxa" w:w="120"/>
              <w:right w:type="dxa" w:w="120"/>
            </w:tcMar>
            <w:vAlign w:val="center"/>
          </w:tcPr>
          <w:p>
            <w:pPr>
              <w:jc w:val="center"/>
            </w:pPr>
            <w:r>
              <w:rPr>
                <w:rFonts w:ascii="Arial" w:cs="Arial" w:eastAsia="Arial" w:hAnsi="Arial"/>
                <w:b/>
                <w:bCs/>
                <w:color w:val="0A1628"/>
                <w:sz w:val="24"/>
                <w:szCs w:val="24"/>
              </w:rPr>
              <w:t xml:space="preserve">3 Credits</w:t>
            </w:r>
          </w:p>
        </w:tc>
      </w:tr>
    </w:tbl>
    <w:p>
      <w:pPr>
        <w:spacing w:after="120"/>
      </w:pPr>
    </w:p>
    <w:p>
      <w:pPr>
        <w:spacing w:after="120"/>
      </w:pPr>
      <w:r>
        <w:rPr>
          <w:rFonts w:ascii="Arial" w:cs="Arial" w:eastAsia="Arial" w:hAnsi="Arial"/>
          <w:b/>
          <w:bCs/>
          <w:color w:val="8B0000"/>
          <w:sz w:val="22"/>
          <w:szCs w:val="22"/>
        </w:rPr>
        <w:t xml:space="preserve">NOTICE: </w:t>
      </w:r>
      <w:r>
        <w:rPr>
          <w:rFonts w:ascii="Arial" w:cs="Arial" w:eastAsia="Arial" w:hAnsi="Arial"/>
          <w:sz w:val="22"/>
          <w:szCs w:val="22"/>
        </w:rPr>
        <w:t xml:space="preserve">The petitioner does not claim PLA credit for the Natural/Physical Science Lab requirement. Laboratory science competency requires hands-on experimental work that is not demonstrated through the experiential evidence documented in this portfolio. The petitioner will fulfill this requirement through enrollment in an appropriate SI-designated course (BIO 105, CHE 105, ESS 105, or PHY 105).</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0A1628" w:val="clear"/>
            <w:tcMar>
              <w:top w:type="dxa" w:w="120"/>
              <w:left w:type="dxa" w:w="200"/>
              <w:bottom w:type="dxa" w:w="120"/>
              <w:right w:type="dxa" w:w="120"/>
            </w:tcMar>
          </w:tcPr>
          <w:p>
            <w:r>
              <w:rPr>
                <w:rFonts w:ascii="Arial" w:cs="Arial" w:eastAsia="Arial" w:hAnsi="Arial"/>
                <w:b/>
                <w:bCs/>
                <w:color w:val="C9A84C"/>
                <w:sz w:val="20"/>
                <w:szCs w:val="20"/>
              </w:rPr>
              <w:t xml:space="preserve">SPC 101 | General Education (OC)</w:t>
            </w:r>
          </w:p>
          <w:p>
            <w:r>
              <w:rPr>
                <w:rFonts w:ascii="Arial" w:cs="Arial" w:eastAsia="Arial" w:hAnsi="Arial"/>
                <w:b/>
                <w:bCs/>
                <w:color w:val="FFFFFF"/>
                <w:sz w:val="28"/>
                <w:szCs w:val="28"/>
              </w:rPr>
              <w:t xml:space="preserve">Oral Communications</w:t>
            </w:r>
          </w:p>
        </w:tc>
        <w:tc>
          <w:tcPr>
            <w:tcW w:type="dxa" w:w="2360"/>
            <w:tcBorders>
              <w:top w:val="none" w:color="FFFFFF" w:sz="0"/>
              <w:left w:val="none" w:color="FFFFFF" w:sz="0"/>
              <w:bottom w:val="none" w:color="FFFFFF" w:sz="0"/>
              <w:right w:val="none" w:color="FFFFFF" w:sz="0"/>
            </w:tcBorders>
            <w:shd w:fill="C9A84C" w:val="clear"/>
            <w:tcMar>
              <w:top w:type="dxa" w:w="120"/>
              <w:left w:type="dxa" w:w="120"/>
              <w:bottom w:type="dxa" w:w="120"/>
              <w:right w:type="dxa" w:w="120"/>
            </w:tcMar>
            <w:vAlign w:val="center"/>
          </w:tcPr>
          <w:p>
            <w:pPr>
              <w:jc w:val="center"/>
            </w:pPr>
            <w:r>
              <w:rPr>
                <w:rFonts w:ascii="Arial" w:cs="Arial" w:eastAsia="Arial" w:hAnsi="Arial"/>
                <w:b/>
                <w:bCs/>
                <w:color w:val="0A1628"/>
                <w:sz w:val="24"/>
                <w:szCs w:val="24"/>
              </w:rPr>
              <w:t xml:space="preserve">3 Credits</w:t>
            </w:r>
          </w:p>
        </w:tc>
      </w:tr>
    </w:tbl>
    <w:p>
      <w:pPr>
        <w:spacing w:after="120"/>
      </w:pPr>
    </w:p>
    <w:p>
      <w:pPr>
        <w:pStyle w:val="Heading3"/>
        <w:spacing w:after="80" w:before="200"/>
      </w:pPr>
      <w:r>
        <w:rPr>
          <w:rFonts w:ascii="Arial" w:cs="Arial" w:eastAsia="Arial" w:hAnsi="Arial"/>
          <w:b/>
          <w:bCs/>
          <w:color w:val="5A6475"/>
          <w:sz w:val="22"/>
          <w:szCs w:val="22"/>
        </w:rPr>
        <w:t xml:space="preserve">DCCC Course Description</w:t>
      </w:r>
    </w:p>
    <w:p>
      <w:pPr>
        <w:spacing w:after="120"/>
      </w:pPr>
      <w:r>
        <w:rPr>
          <w:rFonts w:ascii="Arial" w:cs="Arial" w:eastAsia="Arial" w:hAnsi="Arial"/>
          <w:sz w:val="22"/>
          <w:szCs w:val="22"/>
        </w:rPr>
        <w:t xml:space="preserve">Principles and practice of effective oral communication: public speaking, interpersonal communication, listening, non-verbal communication, and audience analysis. Satisfies the Oral Communications (OC) General Education attribute.</w:t>
      </w:r>
    </w:p>
    <w:p>
      <w:pPr>
        <w:pStyle w:val="Heading3"/>
        <w:spacing w:after="80" w:before="200"/>
      </w:pPr>
      <w:r>
        <w:rPr>
          <w:rFonts w:ascii="Arial" w:cs="Arial" w:eastAsia="Arial" w:hAnsi="Arial"/>
          <w:b/>
          <w:bCs/>
          <w:color w:val="5A6475"/>
          <w:sz w:val="22"/>
          <w:szCs w:val="22"/>
        </w:rPr>
        <w:t xml:space="preserve">Prior Learning Claim Statement</w:t>
      </w:r>
    </w:p>
    <w:p>
      <w:pPr>
        <w:spacing w:after="120"/>
      </w:pPr>
      <w:r>
        <w:rPr>
          <w:rFonts w:ascii="Arial" w:cs="Arial" w:eastAsia="Arial" w:hAnsi="Arial"/>
          <w:sz w:val="22"/>
          <w:szCs w:val="22"/>
        </w:rPr>
        <w:t xml:space="preserve">Oral communications competency is demonstrated through leadership and team communication in AmeriCorps NCCC service, professional communications in business development contexts, and advocacy communication in legal proceedings.</w:t>
      </w:r>
    </w:p>
    <w:p>
      <w:pPr>
        <w:pStyle w:val="Heading3"/>
        <w:spacing w:after="80" w:before="200"/>
      </w:pPr>
      <w:r>
        <w:rPr>
          <w:rFonts w:ascii="Arial" w:cs="Arial" w:eastAsia="Arial" w:hAnsi="Arial"/>
          <w:b/>
          <w:bCs/>
          <w:color w:val="5A6475"/>
          <w:sz w:val="22"/>
          <w:szCs w:val="22"/>
        </w:rPr>
        <w:t xml:space="preserve">Evidence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Evidence Item</w:t>
            </w:r>
          </w:p>
        </w:tc>
        <w:tc>
          <w:tcPr>
            <w:tcW w:type="dxa" w:w="42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Description / Competency Demonstrated</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Location / Folder</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AmeriCorps NCCC Service Letters</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3,629 hours in team-based federal service — sustained oral communication, leadership, coordination</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00_GENERAL_STUDIES_EVIDENCE/AMERICORPS_NCCC/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Shuda Enterprises / Legalitize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Startup business communications, platform presentations, audience-specific messaging</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BUS_ENTREPRENEURSHIP_LLC/</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Woman's Wrench Brand Identity</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Brand voice and communications strategy — audience-specific communication design</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00_GENERAL_STUDIES_EVIDENCE/WOMANS_WRENCH_BRAND/</w:t>
            </w:r>
          </w:p>
        </w:tc>
      </w:tr>
    </w:tbl>
    <w:p>
      <w:pPr>
        <w:spacing w:after="120"/>
      </w:pPr>
    </w:p>
    <w:p>
      <w:pPr>
        <w:pStyle w:val="Heading3"/>
        <w:spacing w:after="80" w:before="200"/>
      </w:pPr>
      <w:r>
        <w:rPr>
          <w:rFonts w:ascii="Arial" w:cs="Arial" w:eastAsia="Arial" w:hAnsi="Arial"/>
          <w:b/>
          <w:bCs/>
          <w:color w:val="5A6475"/>
          <w:sz w:val="22"/>
          <w:szCs w:val="22"/>
        </w:rPr>
        <w:t xml:space="preserve">Competency Narrative</w:t>
      </w:r>
    </w:p>
    <w:p>
      <w:pPr>
        <w:spacing w:after="120"/>
      </w:pPr>
      <w:r>
        <w:rPr>
          <w:rFonts w:ascii="Arial" w:cs="Arial" w:eastAsia="Arial" w:hAnsi="Arial"/>
          <w:sz w:val="22"/>
          <w:szCs w:val="22"/>
        </w:rPr>
        <w:t xml:space="preserve">AmeriCorps NCCC is a team-based service program in which participants are continuously required to communicate effectively in group settings, receive and convey instructions across diverse teams, present reports and briefings, and coordinate with community partners — all core OC competencies. Two full terms (3,629 total hours) across Atlantic and Pacific regions provided sustained development of oral communication and interpersonal communication skills.</w:t>
      </w:r>
    </w:p>
    <w:p>
      <w:pPr>
        <w:spacing w:after="120"/>
      </w:pPr>
      <w:r>
        <w:rPr>
          <w:rFonts w:ascii="Arial" w:cs="Arial" w:eastAsia="Arial" w:hAnsi="Arial"/>
          <w:sz w:val="22"/>
          <w:szCs w:val="22"/>
        </w:rPr>
        <w:t xml:space="preserve">Her business development work for Shuda Enterprises and Legalitize required professional oral communication: presentations of the Legalitize platform in startup contexts, customer-facing communication as a founder, and the audience-specific communication that SPC 101 develops. The Woman's Wrench brand identity project demonstrates planned strategic communication: identifying a target audience, developing a communication style appropriate to that audience, and implementing it consistently.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0A1628" w:val="clear"/>
            <w:tcMar>
              <w:top w:type="dxa" w:w="120"/>
              <w:left w:type="dxa" w:w="200"/>
              <w:bottom w:type="dxa" w:w="120"/>
              <w:right w:type="dxa" w:w="120"/>
            </w:tcMar>
          </w:tcPr>
          <w:p>
            <w:r>
              <w:rPr>
                <w:rFonts w:ascii="Arial" w:cs="Arial" w:eastAsia="Arial" w:hAnsi="Arial"/>
                <w:b/>
                <w:bCs/>
                <w:color w:val="C9A84C"/>
                <w:sz w:val="20"/>
                <w:szCs w:val="20"/>
              </w:rPr>
              <w:t xml:space="preserve">PHI 100 | General Education (GU)</w:t>
            </w:r>
          </w:p>
          <w:p>
            <w:r>
              <w:rPr>
                <w:rFonts w:ascii="Arial" w:cs="Arial" w:eastAsia="Arial" w:hAnsi="Arial"/>
                <w:b/>
                <w:bCs/>
                <w:color w:val="FFFFFF"/>
                <w:sz w:val="28"/>
                <w:szCs w:val="28"/>
              </w:rPr>
              <w:t xml:space="preserve">Introduction to Philosophy / Global Understanding</w:t>
            </w:r>
          </w:p>
        </w:tc>
        <w:tc>
          <w:tcPr>
            <w:tcW w:type="dxa" w:w="2360"/>
            <w:tcBorders>
              <w:top w:val="none" w:color="FFFFFF" w:sz="0"/>
              <w:left w:val="none" w:color="FFFFFF" w:sz="0"/>
              <w:bottom w:val="none" w:color="FFFFFF" w:sz="0"/>
              <w:right w:val="none" w:color="FFFFFF" w:sz="0"/>
            </w:tcBorders>
            <w:shd w:fill="C9A84C" w:val="clear"/>
            <w:tcMar>
              <w:top w:type="dxa" w:w="120"/>
              <w:left w:type="dxa" w:w="120"/>
              <w:bottom w:type="dxa" w:w="120"/>
              <w:right w:type="dxa" w:w="120"/>
            </w:tcMar>
            <w:vAlign w:val="center"/>
          </w:tcPr>
          <w:p>
            <w:pPr>
              <w:jc w:val="center"/>
            </w:pPr>
            <w:r>
              <w:rPr>
                <w:rFonts w:ascii="Arial" w:cs="Arial" w:eastAsia="Arial" w:hAnsi="Arial"/>
                <w:b/>
                <w:bCs/>
                <w:color w:val="0A1628"/>
                <w:sz w:val="24"/>
                <w:szCs w:val="24"/>
              </w:rPr>
              <w:t xml:space="preserve">3 Credits</w:t>
            </w:r>
          </w:p>
        </w:tc>
      </w:tr>
    </w:tbl>
    <w:p>
      <w:pPr>
        <w:spacing w:after="120"/>
      </w:pPr>
    </w:p>
    <w:p>
      <w:pPr>
        <w:pStyle w:val="Heading3"/>
        <w:spacing w:after="80" w:before="200"/>
      </w:pPr>
      <w:r>
        <w:rPr>
          <w:rFonts w:ascii="Arial" w:cs="Arial" w:eastAsia="Arial" w:hAnsi="Arial"/>
          <w:b/>
          <w:bCs/>
          <w:color w:val="5A6475"/>
          <w:sz w:val="22"/>
          <w:szCs w:val="22"/>
        </w:rPr>
        <w:t xml:space="preserve">DCCC Course Description</w:t>
      </w:r>
    </w:p>
    <w:p>
      <w:pPr>
        <w:spacing w:after="120"/>
      </w:pPr>
      <w:r>
        <w:rPr>
          <w:rFonts w:ascii="Arial" w:cs="Arial" w:eastAsia="Arial" w:hAnsi="Arial"/>
          <w:sz w:val="22"/>
          <w:szCs w:val="22"/>
        </w:rPr>
        <w:t xml:space="preserve">Introduction to philosophical reasoning, ethics, and diverse systems of thought. Emphasis on critical thinking, ethical theory, and understanding perspectives across cultures and traditions. Satisfies the Global Understanding (GU) General Education attribute.</w:t>
      </w:r>
    </w:p>
    <w:p>
      <w:pPr>
        <w:pStyle w:val="Heading3"/>
        <w:spacing w:after="80" w:before="200"/>
      </w:pPr>
      <w:r>
        <w:rPr>
          <w:rFonts w:ascii="Arial" w:cs="Arial" w:eastAsia="Arial" w:hAnsi="Arial"/>
          <w:b/>
          <w:bCs/>
          <w:color w:val="5A6475"/>
          <w:sz w:val="22"/>
          <w:szCs w:val="22"/>
        </w:rPr>
        <w:t xml:space="preserve">Prior Learning Claim Statement</w:t>
      </w:r>
    </w:p>
    <w:p>
      <w:pPr>
        <w:spacing w:after="120"/>
      </w:pPr>
      <w:r>
        <w:rPr>
          <w:rFonts w:ascii="Arial" w:cs="Arial" w:eastAsia="Arial" w:hAnsi="Arial"/>
          <w:sz w:val="22"/>
          <w:szCs w:val="22"/>
        </w:rPr>
        <w:t xml:space="preserve">Philosophical reasoning and ethical thinking competencies are demonstrated through sustained engagement with legal ethics, civil rights theory, and the normative foundations of justice advocacy.</w:t>
      </w:r>
    </w:p>
    <w:p>
      <w:pPr>
        <w:pStyle w:val="Heading3"/>
        <w:spacing w:after="80" w:before="200"/>
      </w:pPr>
      <w:r>
        <w:rPr>
          <w:rFonts w:ascii="Arial" w:cs="Arial" w:eastAsia="Arial" w:hAnsi="Arial"/>
          <w:b/>
          <w:bCs/>
          <w:color w:val="5A6475"/>
          <w:sz w:val="22"/>
          <w:szCs w:val="22"/>
        </w:rPr>
        <w:t xml:space="preserve">Evidence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Evidence Item</w:t>
            </w:r>
          </w:p>
        </w:tc>
        <w:tc>
          <w:tcPr>
            <w:tcW w:type="dxa" w:w="42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Description / Competency Demonstrated</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Location / Folder</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§1983 Civil Rights Advocacy</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Constitutional rights theory — normative framework for civil rights litigation as a moral and philosophical claim</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04_HATBORO_1983_EDPA/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RTKL Transparency Advocacy</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Democratic accountability philosophy — government transparency as principled position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05_RTKL_OOR_APPEALS/</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Parental Rights Analysis</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Fundamental rights theory — philosophical basis for parental autonomy as protected liberty</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01_CUSTODY_CCP_2016-5628/</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Legal Ethics Practice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Applied professional ethics — daily ethical decision-making in legal representation contexts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08_POA_AUTHORITY/</w:t>
            </w:r>
          </w:p>
        </w:tc>
      </w:tr>
    </w:tbl>
    <w:p>
      <w:pPr>
        <w:spacing w:after="120"/>
      </w:pPr>
    </w:p>
    <w:p>
      <w:pPr>
        <w:pStyle w:val="Heading3"/>
        <w:spacing w:after="80" w:before="200"/>
      </w:pPr>
      <w:r>
        <w:rPr>
          <w:rFonts w:ascii="Arial" w:cs="Arial" w:eastAsia="Arial" w:hAnsi="Arial"/>
          <w:b/>
          <w:bCs/>
          <w:color w:val="5A6475"/>
          <w:sz w:val="22"/>
          <w:szCs w:val="22"/>
        </w:rPr>
        <w:t xml:space="preserve">Competency Narrative</w:t>
      </w:r>
    </w:p>
    <w:p>
      <w:pPr>
        <w:spacing w:after="120"/>
      </w:pPr>
      <w:r>
        <w:rPr>
          <w:rFonts w:ascii="Arial" w:cs="Arial" w:eastAsia="Arial" w:hAnsi="Arial"/>
          <w:sz w:val="22"/>
          <w:szCs w:val="22"/>
        </w:rPr>
        <w:t xml:space="preserve">The civil rights tradition from which Alexa Shuda's §1983 and parental rights work draws its framework is rooted in philosophical claims about the nature of rights, the limits of government power, and the moral foundations of constitutional democracy. Her work in this area demonstrates the kind of normative reasoning PHI 100 develops — reasoning from principle to specific application.</w:t>
      </w:r>
    </w:p>
    <w:p>
      <w:pPr>
        <w:spacing w:after="120"/>
      </w:pPr>
      <w:r>
        <w:rPr>
          <w:rFonts w:ascii="Arial" w:cs="Arial" w:eastAsia="Arial" w:hAnsi="Arial"/>
          <w:sz w:val="22"/>
          <w:szCs w:val="22"/>
        </w:rPr>
        <w:t xml:space="preserve">Her RTKL/OOR enforcement work is grounded in a philosophical commitment to government transparency as a principle of democratic accountability — a position with roots in Enlightenment political philosophy and contemporary public accountability theory. Her approach to civil rights litigation reflects the deontological principle that rights-violations are wrongful independent of their consequences — the philosophical foundation of constitutional rights theory that PHI 100 addresses.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0A1628" w:val="clear"/>
            <w:tcMar>
              <w:top w:type="dxa" w:w="120"/>
              <w:left w:type="dxa" w:w="200"/>
              <w:bottom w:type="dxa" w:w="120"/>
              <w:right w:type="dxa" w:w="120"/>
            </w:tcMar>
          </w:tcPr>
          <w:p>
            <w:r>
              <w:rPr>
                <w:rFonts w:ascii="Arial" w:cs="Arial" w:eastAsia="Arial" w:hAnsi="Arial"/>
                <w:b/>
                <w:bCs/>
                <w:color w:val="C9A84C"/>
                <w:sz w:val="20"/>
                <w:szCs w:val="20"/>
              </w:rPr>
              <w:t xml:space="preserve">ADJ 241 | Concentration + General Education (DJ)</w:t>
            </w:r>
          </w:p>
          <w:p>
            <w:r>
              <w:rPr>
                <w:rFonts w:ascii="Arial" w:cs="Arial" w:eastAsia="Arial" w:hAnsi="Arial"/>
                <w:b/>
                <w:bCs/>
                <w:color w:val="FFFFFF"/>
                <w:sz w:val="28"/>
                <w:szCs w:val="28"/>
              </w:rPr>
              <w:t xml:space="preserve">Criminal Justice and Diversity</w:t>
            </w:r>
          </w:p>
        </w:tc>
        <w:tc>
          <w:tcPr>
            <w:tcW w:type="dxa" w:w="2360"/>
            <w:tcBorders>
              <w:top w:val="none" w:color="FFFFFF" w:sz="0"/>
              <w:left w:val="none" w:color="FFFFFF" w:sz="0"/>
              <w:bottom w:val="none" w:color="FFFFFF" w:sz="0"/>
              <w:right w:val="none" w:color="FFFFFF" w:sz="0"/>
            </w:tcBorders>
            <w:shd w:fill="C9A84C" w:val="clear"/>
            <w:tcMar>
              <w:top w:type="dxa" w:w="120"/>
              <w:left w:type="dxa" w:w="120"/>
              <w:bottom w:type="dxa" w:w="120"/>
              <w:right w:type="dxa" w:w="120"/>
            </w:tcMar>
            <w:vAlign w:val="center"/>
          </w:tcPr>
          <w:p>
            <w:pPr>
              <w:jc w:val="center"/>
            </w:pPr>
            <w:r>
              <w:rPr>
                <w:rFonts w:ascii="Arial" w:cs="Arial" w:eastAsia="Arial" w:hAnsi="Arial"/>
                <w:b/>
                <w:bCs/>
                <w:color w:val="0A1628"/>
                <w:sz w:val="24"/>
                <w:szCs w:val="24"/>
              </w:rPr>
              <w:t xml:space="preserve">3 Credits</w:t>
            </w:r>
          </w:p>
        </w:tc>
      </w:tr>
    </w:tbl>
    <w:p>
      <w:pPr>
        <w:spacing w:after="120"/>
      </w:pPr>
    </w:p>
    <w:p>
      <w:pPr>
        <w:pStyle w:val="Heading3"/>
        <w:spacing w:after="80" w:before="200"/>
      </w:pPr>
      <w:r>
        <w:rPr>
          <w:rFonts w:ascii="Arial" w:cs="Arial" w:eastAsia="Arial" w:hAnsi="Arial"/>
          <w:b/>
          <w:bCs/>
          <w:color w:val="5A6475"/>
          <w:sz w:val="22"/>
          <w:szCs w:val="22"/>
        </w:rPr>
        <w:t xml:space="preserve">DCCC Course Description</w:t>
      </w:r>
    </w:p>
    <w:p>
      <w:pPr>
        <w:spacing w:after="120"/>
      </w:pPr>
      <w:r>
        <w:rPr>
          <w:rFonts w:ascii="Arial" w:cs="Arial" w:eastAsia="Arial" w:hAnsi="Arial"/>
          <w:sz w:val="22"/>
          <w:szCs w:val="22"/>
        </w:rPr>
        <w:t xml:space="preserve">Examines the intersection of race, class, gender, disability, and other social categories with the criminal justice system. Addresses systemic inequities, civil rights, community-police relations, and reform. Satisfies the Diversity &amp; Justice (DJ) General Education attribute.</w:t>
      </w:r>
    </w:p>
    <w:p>
      <w:pPr>
        <w:pStyle w:val="Heading3"/>
        <w:spacing w:after="80" w:before="200"/>
      </w:pPr>
      <w:r>
        <w:rPr>
          <w:rFonts w:ascii="Arial" w:cs="Arial" w:eastAsia="Arial" w:hAnsi="Arial"/>
          <w:b/>
          <w:bCs/>
          <w:color w:val="5A6475"/>
          <w:sz w:val="22"/>
          <w:szCs w:val="22"/>
        </w:rPr>
        <w:t xml:space="preserve">Prior Learning Claim Statement</w:t>
      </w:r>
    </w:p>
    <w:p>
      <w:pPr>
        <w:spacing w:after="120"/>
      </w:pPr>
      <w:r>
        <w:rPr>
          <w:rFonts w:ascii="Arial" w:cs="Arial" w:eastAsia="Arial" w:hAnsi="Arial"/>
          <w:sz w:val="22"/>
          <w:szCs w:val="22"/>
        </w:rPr>
        <w:t xml:space="preserve">Alexa Shuda's civil rights advocacy work demonstrates direct, lived engagement with the subject matter of ADJ 241 — the intersection of law enforcement power and individual rights, the accountability gap between official policy and practice, and the structural dimensions of civil rights violations by municipal actors.</w:t>
      </w:r>
    </w:p>
    <w:p>
      <w:pPr>
        <w:pStyle w:val="Heading3"/>
        <w:spacing w:after="80" w:before="200"/>
      </w:pPr>
      <w:r>
        <w:rPr>
          <w:rFonts w:ascii="Arial" w:cs="Arial" w:eastAsia="Arial" w:hAnsi="Arial"/>
          <w:b/>
          <w:bCs/>
          <w:color w:val="5A6475"/>
          <w:sz w:val="22"/>
          <w:szCs w:val="22"/>
        </w:rPr>
        <w:t xml:space="preserve">Evidence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Evidence Item</w:t>
            </w:r>
          </w:p>
        </w:tc>
        <w:tc>
          <w:tcPr>
            <w:tcW w:type="dxa" w:w="42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Description / Competency Demonstrated</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Location / Folder</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§1983 Municipal Accountability</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Research into Monell liability doctrine as a mechanism for systemic police accountability — structural dimensions of law enforcement power</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04_HATBORO_1983_EDPA/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RTKL / Transparency Advocacy</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Enforcement of Right-to-Know Law against law enforcement agency — public accountability and transparency as justice mechanisms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05_RTKL_OOR_APPEALS/</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Parental Rights Advocacy</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Advocacy for parental rights and children's rights in custody and education contexts — access and equity principles</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01_CUSTODY_CCP_2016-5628/</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IDEA / Section 504 Advocacy</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Education rights for children with disabilities — disability justice principles and enforcement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06_EDUCATION_FERPA_IDEA/</w:t>
            </w:r>
          </w:p>
        </w:tc>
      </w:tr>
    </w:tbl>
    <w:p>
      <w:pPr>
        <w:spacing w:after="120"/>
      </w:pPr>
    </w:p>
    <w:p>
      <w:pPr>
        <w:pStyle w:val="Heading3"/>
        <w:spacing w:after="80" w:before="200"/>
      </w:pPr>
      <w:r>
        <w:rPr>
          <w:rFonts w:ascii="Arial" w:cs="Arial" w:eastAsia="Arial" w:hAnsi="Arial"/>
          <w:b/>
          <w:bCs/>
          <w:color w:val="5A6475"/>
          <w:sz w:val="22"/>
          <w:szCs w:val="22"/>
        </w:rPr>
        <w:t xml:space="preserve">Competency Narrative</w:t>
      </w:r>
    </w:p>
    <w:p>
      <w:pPr>
        <w:spacing w:after="120"/>
      </w:pPr>
      <w:r>
        <w:rPr>
          <w:rFonts w:ascii="Arial" w:cs="Arial" w:eastAsia="Arial" w:hAnsi="Arial"/>
          <w:sz w:val="22"/>
          <w:szCs w:val="22"/>
        </w:rPr>
        <w:t xml:space="preserve">ADJ 241 addresses the relationship between the criminal justice system and diverse communities, with emphasis on systemic equity issues, civil rights protections, and accountability mechanisms. Alexa Shuda has engaged directly with these issues in her civil rights advocacy work.</w:t>
      </w:r>
    </w:p>
    <w:p>
      <w:pPr>
        <w:spacing w:after="120"/>
      </w:pPr>
      <w:r>
        <w:rPr>
          <w:rFonts w:ascii="Arial" w:cs="Arial" w:eastAsia="Arial" w:hAnsi="Arial"/>
          <w:sz w:val="22"/>
          <w:szCs w:val="22"/>
        </w:rPr>
        <w:t xml:space="preserve">Her §1983 action addresses the accountability gap between official policy (HPD General Order 2.3.1 governing Internal Affairs) and actual practice (failure to conduct a proper investigation). The Monell doctrine itself is a legal accountability mechanism designed to address systemic rather than individual misconduct — requiring proof that a constitutional violation results from official policy or custom. Her engagement with this doctrine demonstrates understanding of systemic accountability in law enforcement at the level ADJ 241 addresses.</w:t>
      </w:r>
    </w:p>
    <w:p>
      <w:pPr>
        <w:spacing w:after="120"/>
      </w:pPr>
      <w:r>
        <w:rPr>
          <w:rFonts w:ascii="Arial" w:cs="Arial" w:eastAsia="Arial" w:hAnsi="Arial"/>
          <w:sz w:val="22"/>
          <w:szCs w:val="22"/>
        </w:rPr>
        <w:t xml:space="preserve">Her RTKL enforcement work addresses a structural justice issue: the public's right of access to government records, and the accountability mechanisms that exist when agencies improperly withhold them. The two OOR appeals she filed represent enforcement of transparency laws against a law enforcement agency — directly implicating the community-police accountability themes central to ADJ 241.</w:t>
      </w:r>
    </w:p>
    <w:p>
      <w:pPr>
        <w:spacing w:after="120"/>
      </w:pPr>
      <w:r>
        <w:rPr>
          <w:rFonts w:ascii="Arial" w:cs="Arial" w:eastAsia="Arial" w:hAnsi="Arial"/>
          <w:sz w:val="22"/>
          <w:szCs w:val="22"/>
        </w:rPr>
        <w:t xml:space="preserve">Her advocacy for her children's rights under IDEA and Section 504 demonstrates engagement with disability justice in the education context: the rights of students with disabilities to appropriate educational services, the procedural protections the law affords, and the obligations of school districts that frequently go unenforced without active parent advocacy.</w:t>
      </w:r>
    </w:p>
    <w:p>
      <w:pPr>
        <w:pStyle w:val="Heading1"/>
        <w:pageBreakBefore/>
        <w:pBdr>
          <w:bottom w:val="single" w:color="C9A84C" w:sz="8" w:space="4"/>
        </w:pBdr>
        <w:spacing w:after="200" w:before="0"/>
      </w:pPr>
      <w:r>
        <w:rPr>
          <w:rFonts w:ascii="Arial" w:cs="Arial" w:eastAsia="Arial" w:hAnsi="Arial"/>
          <w:b/>
          <w:bCs/>
          <w:color w:val="0A1628"/>
          <w:sz w:val="32"/>
          <w:szCs w:val="32"/>
        </w:rPr>
        <w:t xml:space="preserve">SECTION III: LAW AND CRIMINAL JUSTICE CONCENTRATION</w:t>
      </w:r>
    </w:p>
    <w:p>
      <w:pPr>
        <w:spacing w:after="120"/>
      </w:pPr>
      <w:r>
        <w:rPr>
          <w:rFonts w:ascii="Arial" w:cs="Arial" w:eastAsia="Arial" w:hAnsi="Arial"/>
          <w:sz w:val="22"/>
          <w:szCs w:val="22"/>
        </w:rPr>
        <w:t xml:space="preserve">The Law and Criminal Justice concentration requires five courses including ADJ 241 (documented in Section II above), LGL 240, LGL 246, ADJ 101, and ADJ 225.</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0A1628" w:val="clear"/>
            <w:tcMar>
              <w:top w:type="dxa" w:w="120"/>
              <w:left w:type="dxa" w:w="200"/>
              <w:bottom w:type="dxa" w:w="120"/>
              <w:right w:type="dxa" w:w="120"/>
            </w:tcMar>
          </w:tcPr>
          <w:p>
            <w:r>
              <w:rPr>
                <w:rFonts w:ascii="Arial" w:cs="Arial" w:eastAsia="Arial" w:hAnsi="Arial"/>
                <w:b/>
                <w:bCs/>
                <w:color w:val="C9A84C"/>
                <w:sz w:val="20"/>
                <w:szCs w:val="20"/>
              </w:rPr>
              <w:t xml:space="preserve">LGL 240 | Concentration: Law &amp; Criminal Justice</w:t>
            </w:r>
          </w:p>
          <w:p>
            <w:r>
              <w:rPr>
                <w:rFonts w:ascii="Arial" w:cs="Arial" w:eastAsia="Arial" w:hAnsi="Arial"/>
                <w:b/>
                <w:bCs/>
                <w:color w:val="FFFFFF"/>
                <w:sz w:val="28"/>
                <w:szCs w:val="28"/>
              </w:rPr>
              <w:t xml:space="preserve">Family Law</w:t>
            </w:r>
          </w:p>
        </w:tc>
        <w:tc>
          <w:tcPr>
            <w:tcW w:type="dxa" w:w="2360"/>
            <w:tcBorders>
              <w:top w:val="none" w:color="FFFFFF" w:sz="0"/>
              <w:left w:val="none" w:color="FFFFFF" w:sz="0"/>
              <w:bottom w:val="none" w:color="FFFFFF" w:sz="0"/>
              <w:right w:val="none" w:color="FFFFFF" w:sz="0"/>
            </w:tcBorders>
            <w:shd w:fill="C9A84C" w:val="clear"/>
            <w:tcMar>
              <w:top w:type="dxa" w:w="120"/>
              <w:left w:type="dxa" w:w="120"/>
              <w:bottom w:type="dxa" w:w="120"/>
              <w:right w:type="dxa" w:w="120"/>
            </w:tcMar>
            <w:vAlign w:val="center"/>
          </w:tcPr>
          <w:p>
            <w:pPr>
              <w:jc w:val="center"/>
            </w:pPr>
            <w:r>
              <w:rPr>
                <w:rFonts w:ascii="Arial" w:cs="Arial" w:eastAsia="Arial" w:hAnsi="Arial"/>
                <w:b/>
                <w:bCs/>
                <w:color w:val="0A1628"/>
                <w:sz w:val="24"/>
                <w:szCs w:val="24"/>
              </w:rPr>
              <w:t xml:space="preserve">3 Credits</w:t>
            </w:r>
          </w:p>
        </w:tc>
      </w:tr>
    </w:tbl>
    <w:p>
      <w:pPr>
        <w:spacing w:after="120"/>
      </w:pPr>
    </w:p>
    <w:p>
      <w:pPr>
        <w:pStyle w:val="Heading3"/>
        <w:spacing w:after="80" w:before="200"/>
      </w:pPr>
      <w:r>
        <w:rPr>
          <w:rFonts w:ascii="Arial" w:cs="Arial" w:eastAsia="Arial" w:hAnsi="Arial"/>
          <w:b/>
          <w:bCs/>
          <w:color w:val="5A6475"/>
          <w:sz w:val="22"/>
          <w:szCs w:val="22"/>
        </w:rPr>
        <w:t xml:space="preserve">DCCC Course Description</w:t>
      </w:r>
    </w:p>
    <w:p>
      <w:pPr>
        <w:spacing w:after="120"/>
      </w:pPr>
      <w:r>
        <w:rPr>
          <w:rFonts w:ascii="Arial" w:cs="Arial" w:eastAsia="Arial" w:hAnsi="Arial"/>
          <w:sz w:val="22"/>
          <w:szCs w:val="22"/>
        </w:rPr>
        <w:t xml:space="preserve">Pennsylvania family law including marriage, divorce, child custody, support, equitable distribution, and domestic relations procedure. Emphasis on the paralegal's role: client intake, document preparation, court filings, and evidence organization.</w:t>
      </w:r>
    </w:p>
    <w:p>
      <w:pPr>
        <w:pStyle w:val="Heading3"/>
        <w:spacing w:after="80" w:before="200"/>
      </w:pPr>
      <w:r>
        <w:rPr>
          <w:rFonts w:ascii="Arial" w:cs="Arial" w:eastAsia="Arial" w:hAnsi="Arial"/>
          <w:b/>
          <w:bCs/>
          <w:color w:val="5A6475"/>
          <w:sz w:val="22"/>
          <w:szCs w:val="22"/>
        </w:rPr>
        <w:t xml:space="preserve">Prior Learning Claim Statement</w:t>
      </w:r>
    </w:p>
    <w:p>
      <w:pPr>
        <w:spacing w:after="120"/>
      </w:pPr>
      <w:r>
        <w:rPr>
          <w:rFonts w:ascii="Arial" w:cs="Arial" w:eastAsia="Arial" w:hAnsi="Arial"/>
          <w:sz w:val="22"/>
          <w:szCs w:val="22"/>
        </w:rPr>
        <w:t xml:space="preserve">Alexa Shuda has been the primary pro se litigant and authorized agent in Delaware County CCP No. 2016-5628 — an active Pennsylvania family law matter involving custody, relocation violation, contempt, and parental rights — for over nine years. She has researched and applied the Pennsylvania Child Custody Act (23 Pa.C.S. §§5321-5340), the Relocation Statute (23 Pa.C.S. §5337), and the Domestic Relations Code in real proceedings with direct impact on the lives of her children.</w:t>
      </w:r>
    </w:p>
    <w:p>
      <w:pPr>
        <w:pStyle w:val="Heading3"/>
        <w:spacing w:after="80" w:before="200"/>
      </w:pPr>
      <w:r>
        <w:rPr>
          <w:rFonts w:ascii="Arial" w:cs="Arial" w:eastAsia="Arial" w:hAnsi="Arial"/>
          <w:b/>
          <w:bCs/>
          <w:color w:val="5A6475"/>
          <w:sz w:val="22"/>
          <w:szCs w:val="22"/>
        </w:rPr>
        <w:t xml:space="preserve">Evidence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Evidence Item</w:t>
            </w:r>
          </w:p>
        </w:tc>
        <w:tc>
          <w:tcPr>
            <w:tcW w:type="dxa" w:w="42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Description / Competency Demonstrated</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Location / Folder</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Delaware County CCP No. 2016-5628</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Active custody matter — pleadings, motions, orders, GAL report; full family law litigation lifecycle</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01_CUSTODY_CCP_2016-5628/</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Relocation Violation Documentation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23 Pa.C.S. §5337 analysis — unilateral 180-mile relocation without court approval; notice and consent requirements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02_RELOCATION_VIOLATION/</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Contempt Evidence File</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23+ withheld parenting time weekends; contempt motion analysis and supporting documentation</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03_CONTEMPT_EVIDENCE/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FERPA/IDEA Enforcement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Family law-adjacent education rights: parental FERPA access rights, IEP rights, Section 504, CPSL obligations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06_EDUCATION_FERPA_IDEA/</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23 Pa.C.S. §5328 Analysis</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Research and application of 16-factor best interests standard to custody modification petition</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01_CUSTODY_CCP_2016-5628/</w:t>
            </w:r>
          </w:p>
        </w:tc>
      </w:tr>
    </w:tbl>
    <w:p>
      <w:pPr>
        <w:spacing w:after="120"/>
      </w:pPr>
    </w:p>
    <w:p>
      <w:pPr>
        <w:pStyle w:val="Heading3"/>
        <w:spacing w:after="80" w:before="200"/>
      </w:pPr>
      <w:r>
        <w:rPr>
          <w:rFonts w:ascii="Arial" w:cs="Arial" w:eastAsia="Arial" w:hAnsi="Arial"/>
          <w:b/>
          <w:bCs/>
          <w:color w:val="5A6475"/>
          <w:sz w:val="22"/>
          <w:szCs w:val="22"/>
        </w:rPr>
        <w:t xml:space="preserve">Competency Narrative</w:t>
      </w:r>
    </w:p>
    <w:p>
      <w:pPr>
        <w:spacing w:after="120"/>
      </w:pPr>
      <w:r>
        <w:rPr>
          <w:rFonts w:ascii="Arial" w:cs="Arial" w:eastAsia="Arial" w:hAnsi="Arial"/>
          <w:sz w:val="22"/>
          <w:szCs w:val="22"/>
        </w:rPr>
        <w:t xml:space="preserve">Delaware County CCP No. 2016-5628 is the central family law matter from which the majority of Alexa Shuda's legal work derives. This matter involves the full range of issues that LGL 240 addresses: an initial custody order, subsequent modifications, a contested relocation (the children were removed approximately 180 miles to Nicholson, Pennsylvania in Susquehanna County without court approval), contempt of a stipulated parenting order, and ongoing enforcement proceedings.</w:t>
      </w:r>
    </w:p>
    <w:p>
      <w:pPr>
        <w:spacing w:after="120"/>
      </w:pPr>
      <w:r>
        <w:rPr>
          <w:rFonts w:ascii="Arial" w:cs="Arial" w:eastAsia="Arial" w:hAnsi="Arial"/>
          <w:sz w:val="22"/>
          <w:szCs w:val="22"/>
        </w:rPr>
        <w:t xml:space="preserve">Her mastery of 23 Pa.C.S. §5337 — the Pennsylvania relocation statute — is comprehensive. She has analyzed the notice requirements (§5337(c)), the consent procedure (§5337(d)), the burden of proof framework (§5337(h)), and the factors the court applies when relocation is contested (§5337(i)). She has documented the violation of each provision and organized evidence to support a finding of unauthorized relocation. This level of statutory analysis applied to a live case exceeds the competency standard for LGL 240.</w:t>
      </w:r>
    </w:p>
    <w:p>
      <w:pPr>
        <w:spacing w:after="120"/>
      </w:pPr>
      <w:r>
        <w:rPr>
          <w:rFonts w:ascii="Arial" w:cs="Arial" w:eastAsia="Arial" w:hAnsi="Arial"/>
          <w:sz w:val="22"/>
          <w:szCs w:val="22"/>
        </w:rPr>
        <w:t xml:space="preserve">Her analysis of 23 Pa.C.S. §5328 — the 16-factor best interests standard — demonstrates the core analytical tool of Pennsylvania custody law. She has evaluated how each statutory factor applies to the circumstances of her children, organized supporting evidence for each factor, and prepared a factual record that a court could use to make a best-interests determination. This is exactly the work a paralegal in a family law practice performs in preparing for a custody hearing.</w:t>
      </w:r>
    </w:p>
    <w:p>
      <w:pPr>
        <w:spacing w:after="120"/>
      </w:pPr>
      <w:r>
        <w:rPr>
          <w:rFonts w:ascii="Arial" w:cs="Arial" w:eastAsia="Arial" w:hAnsi="Arial"/>
          <w:sz w:val="22"/>
          <w:szCs w:val="22"/>
        </w:rPr>
        <w:t xml:space="preserve">Her FERPA and IDEA enforcement work further demonstrates family law competency: under FERPA, a non-custodial parent retains rights to access educational records unless specifically denied by court order. Her enforcement correspondence to Mountain View School District required analysis of both the federal education law framework and its interaction with the Pennsylvania custody order — precisely the kind of interdisciplinary family law analysis LGL 240 develops.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0A1628" w:val="clear"/>
            <w:tcMar>
              <w:top w:type="dxa" w:w="120"/>
              <w:left w:type="dxa" w:w="200"/>
              <w:bottom w:type="dxa" w:w="120"/>
              <w:right w:type="dxa" w:w="120"/>
            </w:tcMar>
          </w:tcPr>
          <w:p>
            <w:r>
              <w:rPr>
                <w:rFonts w:ascii="Arial" w:cs="Arial" w:eastAsia="Arial" w:hAnsi="Arial"/>
                <w:b/>
                <w:bCs/>
                <w:color w:val="C9A84C"/>
                <w:sz w:val="20"/>
                <w:szCs w:val="20"/>
              </w:rPr>
              <w:t xml:space="preserve">LGL 246 | Concentration: Law &amp; Criminal Justice</w:t>
            </w:r>
          </w:p>
          <w:p>
            <w:r>
              <w:rPr>
                <w:rFonts w:ascii="Arial" w:cs="Arial" w:eastAsia="Arial" w:hAnsi="Arial"/>
                <w:b/>
                <w:bCs/>
                <w:color w:val="FFFFFF"/>
                <w:sz w:val="28"/>
                <w:szCs w:val="28"/>
              </w:rPr>
              <w:t xml:space="preserve">Constitutional Law</w:t>
            </w:r>
          </w:p>
        </w:tc>
        <w:tc>
          <w:tcPr>
            <w:tcW w:type="dxa" w:w="2360"/>
            <w:tcBorders>
              <w:top w:val="none" w:color="FFFFFF" w:sz="0"/>
              <w:left w:val="none" w:color="FFFFFF" w:sz="0"/>
              <w:bottom w:val="none" w:color="FFFFFF" w:sz="0"/>
              <w:right w:val="none" w:color="FFFFFF" w:sz="0"/>
            </w:tcBorders>
            <w:shd w:fill="C9A84C" w:val="clear"/>
            <w:tcMar>
              <w:top w:type="dxa" w:w="120"/>
              <w:left w:type="dxa" w:w="120"/>
              <w:bottom w:type="dxa" w:w="120"/>
              <w:right w:type="dxa" w:w="120"/>
            </w:tcMar>
            <w:vAlign w:val="center"/>
          </w:tcPr>
          <w:p>
            <w:pPr>
              <w:jc w:val="center"/>
            </w:pPr>
            <w:r>
              <w:rPr>
                <w:rFonts w:ascii="Arial" w:cs="Arial" w:eastAsia="Arial" w:hAnsi="Arial"/>
                <w:b/>
                <w:bCs/>
                <w:color w:val="0A1628"/>
                <w:sz w:val="24"/>
                <w:szCs w:val="24"/>
              </w:rPr>
              <w:t xml:space="preserve">3 Credits</w:t>
            </w:r>
          </w:p>
        </w:tc>
      </w:tr>
    </w:tbl>
    <w:p>
      <w:pPr>
        <w:spacing w:after="120"/>
      </w:pPr>
    </w:p>
    <w:p>
      <w:pPr>
        <w:pStyle w:val="Heading3"/>
        <w:spacing w:after="80" w:before="200"/>
      </w:pPr>
      <w:r>
        <w:rPr>
          <w:rFonts w:ascii="Arial" w:cs="Arial" w:eastAsia="Arial" w:hAnsi="Arial"/>
          <w:b/>
          <w:bCs/>
          <w:color w:val="5A6475"/>
          <w:sz w:val="22"/>
          <w:szCs w:val="22"/>
        </w:rPr>
        <w:t xml:space="preserve">DCCC Course Description</w:t>
      </w:r>
    </w:p>
    <w:p>
      <w:pPr>
        <w:spacing w:after="120"/>
      </w:pPr>
      <w:r>
        <w:rPr>
          <w:rFonts w:ascii="Arial" w:cs="Arial" w:eastAsia="Arial" w:hAnsi="Arial"/>
          <w:sz w:val="22"/>
          <w:szCs w:val="22"/>
        </w:rPr>
        <w:t xml:space="preserve">Introduction to the United States Constitution: separation of powers, federalism, individual rights under the Bill of Rights, Fourteenth Amendment due process and equal protection, and constitutional litigation.</w:t>
      </w:r>
    </w:p>
    <w:p>
      <w:pPr>
        <w:pStyle w:val="Heading3"/>
        <w:spacing w:after="80" w:before="200"/>
      </w:pPr>
      <w:r>
        <w:rPr>
          <w:rFonts w:ascii="Arial" w:cs="Arial" w:eastAsia="Arial" w:hAnsi="Arial"/>
          <w:b/>
          <w:bCs/>
          <w:color w:val="5A6475"/>
          <w:sz w:val="22"/>
          <w:szCs w:val="22"/>
        </w:rPr>
        <w:t xml:space="preserve">Prior Learning Claim Statement</w:t>
      </w:r>
    </w:p>
    <w:p>
      <w:pPr>
        <w:spacing w:after="120"/>
      </w:pPr>
      <w:r>
        <w:rPr>
          <w:rFonts w:ascii="Arial" w:cs="Arial" w:eastAsia="Arial" w:hAnsi="Arial"/>
          <w:sz w:val="22"/>
          <w:szCs w:val="22"/>
        </w:rPr>
        <w:t xml:space="preserve">Alexa Shuda has conducted advanced constitutional law research and applied constitutional doctrine in the preparation of a 42 U.S.C. §1983 federal civil rights action, RTKL enforcement proceedings implicating government accountability principles, and Fourteenth Amendment due process analysis in the context of custody and parental rights.</w:t>
      </w:r>
    </w:p>
    <w:p>
      <w:pPr>
        <w:pStyle w:val="Heading3"/>
        <w:spacing w:after="80" w:before="200"/>
      </w:pPr>
      <w:r>
        <w:rPr>
          <w:rFonts w:ascii="Arial" w:cs="Arial" w:eastAsia="Arial" w:hAnsi="Arial"/>
          <w:b/>
          <w:bCs/>
          <w:color w:val="5A6475"/>
          <w:sz w:val="22"/>
          <w:szCs w:val="22"/>
        </w:rPr>
        <w:t xml:space="preserve">Evidence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Evidence Item</w:t>
            </w:r>
          </w:p>
        </w:tc>
        <w:tc>
          <w:tcPr>
            <w:tcW w:type="dxa" w:w="42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Description / Competency Demonstrated</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Location / Folder</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§1983 Complaint Research</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4th Amendment unreasonable seizure; 14th Amendment due process; Monell municipal liability — full constitutional tort analysis</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04_HATBORO_1983_EDPA/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ATF Form 4473 Threshold Analysis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Constitutional analysis of 35 Pa. §780-113 penalty (max 1 year = not 'exceeding one year') — firearms/due process context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04_HATBORO_1983_EDPA/</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Monell Policy/Custom Evidence</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Chief Ruegg chain-of-command email; HPD General Order 2.3.1 — direct evidence of municipal policy</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04_HATBORO_1983_EDPA/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14th Amendment Parental Rights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Substantive due process analysis of parental rights as fundamental liberty interest — Troxel v. Granville application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01_CUSTODY_CCP_2016-5628/</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RTKL Government Accountability</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Right-to-Know Law as statutory implementation of government accountability principles in First Amendment tradition</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05_RTKL_OOR_APPEALS/</w:t>
            </w:r>
          </w:p>
        </w:tc>
      </w:tr>
    </w:tbl>
    <w:p>
      <w:pPr>
        <w:spacing w:after="120"/>
      </w:pPr>
    </w:p>
    <w:p>
      <w:pPr>
        <w:pStyle w:val="Heading3"/>
        <w:spacing w:after="80" w:before="200"/>
      </w:pPr>
      <w:r>
        <w:rPr>
          <w:rFonts w:ascii="Arial" w:cs="Arial" w:eastAsia="Arial" w:hAnsi="Arial"/>
          <w:b/>
          <w:bCs/>
          <w:color w:val="5A6475"/>
          <w:sz w:val="22"/>
          <w:szCs w:val="22"/>
        </w:rPr>
        <w:t xml:space="preserve">Competency Narrative</w:t>
      </w:r>
    </w:p>
    <w:p>
      <w:pPr>
        <w:spacing w:after="120"/>
      </w:pPr>
      <w:r>
        <w:rPr>
          <w:rFonts w:ascii="Arial" w:cs="Arial" w:eastAsia="Arial" w:hAnsi="Arial"/>
          <w:sz w:val="22"/>
          <w:szCs w:val="22"/>
        </w:rPr>
        <w:t xml:space="preserve">Constitutional law competency requires not merely familiarity with doctrine, but the ability to identify constitutional issues, locate applicable doctrine, and apply it to a specific factual record. Alexa Shuda has done this repeatedly in connection with active litigation matters.</w:t>
      </w:r>
    </w:p>
    <w:p>
      <w:pPr>
        <w:spacing w:after="120"/>
      </w:pPr>
      <w:r>
        <w:rPr>
          <w:rFonts w:ascii="Arial" w:cs="Arial" w:eastAsia="Arial" w:hAnsi="Arial"/>
          <w:sz w:val="22"/>
          <w:szCs w:val="22"/>
        </w:rPr>
        <w:t xml:space="preserve">Her most sophisticated constitutional work is the §1983 civil rights analysis. Section 1983 is a constitutional tort — the cause of action exists to remedy violations of federally-secured constitutional rights by state actors. Her research required identifying the specific constitutional provisions at issue (Fourth Amendment prohibition on unreasonable seizures; Fourteenth Amendment due process guarantee), articulating the elements of each claim, and connecting specific documented facts to each element. This applied constitutional analysis exceeds LGL 246's introductory standard.</w:t>
      </w:r>
    </w:p>
    <w:p>
      <w:pPr>
        <w:spacing w:after="120"/>
      </w:pPr>
      <w:r>
        <w:rPr>
          <w:rFonts w:ascii="Arial" w:cs="Arial" w:eastAsia="Arial" w:hAnsi="Arial"/>
          <w:sz w:val="22"/>
          <w:szCs w:val="22"/>
        </w:rPr>
        <w:t xml:space="preserve">Her ATF Form 4473 threshold analysis demonstrates rigorous constitutional statutory interpretation: the federal form requires a 'yes' answer if convicted of a crime 'punishable by imprisonment for a term exceeding one year.' 35 Pa. §780-113 carries a maximum penalty of one year — which is not 'exceeding one year.' This required understanding of the Supremacy Clause framework, the interaction between federal and state criminal law, and the constitutional due process implications of an improperly imposed firearms disability.</w:t>
      </w:r>
    </w:p>
    <w:p>
      <w:pPr>
        <w:spacing w:after="120"/>
      </w:pPr>
      <w:r>
        <w:rPr>
          <w:rFonts w:ascii="Arial" w:cs="Arial" w:eastAsia="Arial" w:hAnsi="Arial"/>
          <w:sz w:val="22"/>
          <w:szCs w:val="22"/>
        </w:rPr>
        <w:t xml:space="preserve">Her Monell research demonstrates understanding of the federalism principles underlying §1983 doctrine: municipalities cannot be held liable under respondeat superior, but only for constitutional violations resulting from official policy, custom, or practice. Her identification of Chief Ruegg's chain-of-command email and HPD General Order 2.3.1 as evidence of municipal policy reflects application of this constitutional doctrine to specific facts — exactly the analytical task LGL 246 trains students to perform.</w:t>
      </w:r>
    </w:p>
    <w:p>
      <w:pPr>
        <w:spacing w:after="120"/>
      </w:pPr>
      <w:r>
        <w:rPr>
          <w:rFonts w:ascii="Arial" w:cs="Arial" w:eastAsia="Arial" w:hAnsi="Arial"/>
          <w:sz w:val="22"/>
          <w:szCs w:val="22"/>
        </w:rPr>
        <w:t xml:space="preserve">Her analysis of parental rights as a fundamental liberty interest under the Fourteenth Amendment — grounded in Troxel v. Granville, 530 U.S. 57 (2000) — demonstrates understanding of substantive due process as a constitutional doctrine protecting fundamental rights from government interference, a core constitutional law principle.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0A1628" w:val="clear"/>
            <w:tcMar>
              <w:top w:type="dxa" w:w="120"/>
              <w:left w:type="dxa" w:w="200"/>
              <w:bottom w:type="dxa" w:w="120"/>
              <w:right w:type="dxa" w:w="120"/>
            </w:tcMar>
          </w:tcPr>
          <w:p>
            <w:r>
              <w:rPr>
                <w:rFonts w:ascii="Arial" w:cs="Arial" w:eastAsia="Arial" w:hAnsi="Arial"/>
                <w:b/>
                <w:bCs/>
                <w:color w:val="C9A84C"/>
                <w:sz w:val="20"/>
                <w:szCs w:val="20"/>
              </w:rPr>
              <w:t xml:space="preserve">ADJ 101 | Concentration: Law &amp; Criminal Justice</w:t>
            </w:r>
          </w:p>
          <w:p>
            <w:r>
              <w:rPr>
                <w:rFonts w:ascii="Arial" w:cs="Arial" w:eastAsia="Arial" w:hAnsi="Arial"/>
                <w:b/>
                <w:bCs/>
                <w:color w:val="FFFFFF"/>
                <w:sz w:val="28"/>
                <w:szCs w:val="28"/>
              </w:rPr>
              <w:t xml:space="preserve">Introduction to Criminal Justice</w:t>
            </w:r>
          </w:p>
        </w:tc>
        <w:tc>
          <w:tcPr>
            <w:tcW w:type="dxa" w:w="2360"/>
            <w:tcBorders>
              <w:top w:val="none" w:color="FFFFFF" w:sz="0"/>
              <w:left w:val="none" w:color="FFFFFF" w:sz="0"/>
              <w:bottom w:val="none" w:color="FFFFFF" w:sz="0"/>
              <w:right w:val="none" w:color="FFFFFF" w:sz="0"/>
            </w:tcBorders>
            <w:shd w:fill="C9A84C" w:val="clear"/>
            <w:tcMar>
              <w:top w:type="dxa" w:w="120"/>
              <w:left w:type="dxa" w:w="120"/>
              <w:bottom w:type="dxa" w:w="120"/>
              <w:right w:type="dxa" w:w="120"/>
            </w:tcMar>
            <w:vAlign w:val="center"/>
          </w:tcPr>
          <w:p>
            <w:pPr>
              <w:jc w:val="center"/>
            </w:pPr>
            <w:r>
              <w:rPr>
                <w:rFonts w:ascii="Arial" w:cs="Arial" w:eastAsia="Arial" w:hAnsi="Arial"/>
                <w:b/>
                <w:bCs/>
                <w:color w:val="0A1628"/>
                <w:sz w:val="24"/>
                <w:szCs w:val="24"/>
              </w:rPr>
              <w:t xml:space="preserve">3 Credits</w:t>
            </w:r>
          </w:p>
        </w:tc>
      </w:tr>
    </w:tbl>
    <w:p>
      <w:pPr>
        <w:spacing w:after="120"/>
      </w:pPr>
    </w:p>
    <w:p>
      <w:pPr>
        <w:pStyle w:val="Heading3"/>
        <w:spacing w:after="80" w:before="200"/>
      </w:pPr>
      <w:r>
        <w:rPr>
          <w:rFonts w:ascii="Arial" w:cs="Arial" w:eastAsia="Arial" w:hAnsi="Arial"/>
          <w:b/>
          <w:bCs/>
          <w:color w:val="5A6475"/>
          <w:sz w:val="22"/>
          <w:szCs w:val="22"/>
        </w:rPr>
        <w:t xml:space="preserve">DCCC Course Description</w:t>
      </w:r>
    </w:p>
    <w:p>
      <w:pPr>
        <w:spacing w:after="120"/>
      </w:pPr>
      <w:r>
        <w:rPr>
          <w:rFonts w:ascii="Arial" w:cs="Arial" w:eastAsia="Arial" w:hAnsi="Arial"/>
          <w:sz w:val="22"/>
          <w:szCs w:val="22"/>
        </w:rPr>
        <w:t xml:space="preserve">Survey of the American criminal justice system: law enforcement, courts, and corrections. History, structure, and function of the system; criminal law foundations; civil rights and due process in the criminal context.</w:t>
      </w:r>
    </w:p>
    <w:p>
      <w:pPr>
        <w:pStyle w:val="Heading3"/>
        <w:spacing w:after="80" w:before="200"/>
      </w:pPr>
      <w:r>
        <w:rPr>
          <w:rFonts w:ascii="Arial" w:cs="Arial" w:eastAsia="Arial" w:hAnsi="Arial"/>
          <w:b/>
          <w:bCs/>
          <w:color w:val="5A6475"/>
          <w:sz w:val="22"/>
          <w:szCs w:val="22"/>
        </w:rPr>
        <w:t xml:space="preserve">Prior Learning Claim Statement</w:t>
      </w:r>
    </w:p>
    <w:p>
      <w:pPr>
        <w:spacing w:after="120"/>
      </w:pPr>
      <w:r>
        <w:rPr>
          <w:rFonts w:ascii="Arial" w:cs="Arial" w:eastAsia="Arial" w:hAnsi="Arial"/>
          <w:sz w:val="22"/>
          <w:szCs w:val="22"/>
        </w:rPr>
        <w:t xml:space="preserve">Alexa Shuda's criminal justice competency derives from direct engagement with the criminal justice system as an observer, researcher, and civil rights advocate — including preparation of a §1983 civil rights action against a municipal police department, RTKL requests for law enforcement records, and extensive research into police policy, procedure, and accountability.</w:t>
      </w:r>
    </w:p>
    <w:p>
      <w:pPr>
        <w:pStyle w:val="Heading3"/>
        <w:spacing w:after="80" w:before="200"/>
      </w:pPr>
      <w:r>
        <w:rPr>
          <w:rFonts w:ascii="Arial" w:cs="Arial" w:eastAsia="Arial" w:hAnsi="Arial"/>
          <w:b/>
          <w:bCs/>
          <w:color w:val="5A6475"/>
          <w:sz w:val="22"/>
          <w:szCs w:val="22"/>
        </w:rPr>
        <w:t xml:space="preserve">Evidence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Evidence Item</w:t>
            </w:r>
          </w:p>
        </w:tc>
        <w:tc>
          <w:tcPr>
            <w:tcW w:type="dxa" w:w="42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Description / Competency Demonstrated</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Location / Folder</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Hatboro PD Internal Affairs Records</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RTKL requests and OOR appeals for IA investigation records — knowledge of law enforcement accountability systems</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04_HATBORO_1983_EDPA/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HPD General Order 2.3.1</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Police department general order governing Internal Affairs procedure — knowledge of law enforcement policy structure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04_HATBORO_1983_EDPA/</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Det. Woods Call Transcript</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July 22, 2025 call transcript — police-civilian interaction protocols and rights in practice</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04_HATBORO_1983_EDPA/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§1983 System Analysis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Law enforcement's role in the constitutional system; Fourth Amendment limits; Monell accountability framework</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04_HATBORO_1983_EDPA/</w:t>
            </w:r>
          </w:p>
        </w:tc>
      </w:tr>
    </w:tbl>
    <w:p>
      <w:pPr>
        <w:spacing w:after="120"/>
      </w:pPr>
    </w:p>
    <w:p>
      <w:pPr>
        <w:pStyle w:val="Heading3"/>
        <w:spacing w:after="80" w:before="200"/>
      </w:pPr>
      <w:r>
        <w:rPr>
          <w:rFonts w:ascii="Arial" w:cs="Arial" w:eastAsia="Arial" w:hAnsi="Arial"/>
          <w:b/>
          <w:bCs/>
          <w:color w:val="5A6475"/>
          <w:sz w:val="22"/>
          <w:szCs w:val="22"/>
        </w:rPr>
        <w:t xml:space="preserve">Competency Narrative</w:t>
      </w:r>
    </w:p>
    <w:p>
      <w:pPr>
        <w:spacing w:after="120"/>
      </w:pPr>
      <w:r>
        <w:rPr>
          <w:rFonts w:ascii="Arial" w:cs="Arial" w:eastAsia="Arial" w:hAnsi="Arial"/>
          <w:sz w:val="22"/>
          <w:szCs w:val="22"/>
        </w:rPr>
        <w:t xml:space="preserve">ADJ 101 surveys the three components of the American criminal justice system: law enforcement, courts, and corrections. Alexa Shuda's engagement has been concentrated at the law enforcement accountability level — examining how police departments operate, what rules govern their conduct, and what legal remedies exist when those rules are violated.</w:t>
      </w:r>
    </w:p>
    <w:p>
      <w:pPr>
        <w:spacing w:after="120"/>
      </w:pPr>
      <w:r>
        <w:rPr>
          <w:rFonts w:ascii="Arial" w:cs="Arial" w:eastAsia="Arial" w:hAnsi="Arial"/>
          <w:sz w:val="22"/>
          <w:szCs w:val="22"/>
        </w:rPr>
        <w:t xml:space="preserve">Her RTKL requests for Hatboro Police Department Internal Affairs records, and the subsequent OOR appeals when those records were wrongfully withheld, demonstrate knowledge of the law enforcement accountability framework ADJ 101 addresses. She understands how Internal Affairs investigations function (HPD General Order 2.3.1), what records are created, what disclosure obligations exist under the Right-to-Know Law, and how to pursue enforcement when those obligations are not met.</w:t>
      </w:r>
    </w:p>
    <w:p>
      <w:pPr>
        <w:spacing w:after="120"/>
      </w:pPr>
      <w:r>
        <w:rPr>
          <w:rFonts w:ascii="Arial" w:cs="Arial" w:eastAsia="Arial" w:hAnsi="Arial"/>
          <w:sz w:val="22"/>
          <w:szCs w:val="22"/>
        </w:rPr>
        <w:t xml:space="preserve">Her §1983 research required understanding of the constitutional framework governing law enforcement: the Fourth Amendment's prohibition on unreasonable seizures, the standards for qualified immunity, the Monell doctrine of municipal liability, and the federal court as the forum for vindicating constitutional rights against state actors. This constitutional criminal procedure dimension is within ADJ 101's scope and is demonstrated at an advanced level.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0A1628" w:val="clear"/>
            <w:tcMar>
              <w:top w:type="dxa" w:w="120"/>
              <w:left w:type="dxa" w:w="200"/>
              <w:bottom w:type="dxa" w:w="120"/>
              <w:right w:type="dxa" w:w="120"/>
            </w:tcMar>
          </w:tcPr>
          <w:p>
            <w:r>
              <w:rPr>
                <w:rFonts w:ascii="Arial" w:cs="Arial" w:eastAsia="Arial" w:hAnsi="Arial"/>
                <w:b/>
                <w:bCs/>
                <w:color w:val="C9A84C"/>
                <w:sz w:val="20"/>
                <w:szCs w:val="20"/>
              </w:rPr>
              <w:t xml:space="preserve">ADJ 225 | Concentration: Law &amp; Criminal Justice</w:t>
            </w:r>
          </w:p>
          <w:p>
            <w:r>
              <w:rPr>
                <w:rFonts w:ascii="Arial" w:cs="Arial" w:eastAsia="Arial" w:hAnsi="Arial"/>
                <w:b/>
                <w:bCs/>
                <w:color w:val="FFFFFF"/>
                <w:sz w:val="28"/>
                <w:szCs w:val="28"/>
              </w:rPr>
              <w:t xml:space="preserve">Criminal Evidence</w:t>
            </w:r>
          </w:p>
        </w:tc>
        <w:tc>
          <w:tcPr>
            <w:tcW w:type="dxa" w:w="2360"/>
            <w:tcBorders>
              <w:top w:val="none" w:color="FFFFFF" w:sz="0"/>
              <w:left w:val="none" w:color="FFFFFF" w:sz="0"/>
              <w:bottom w:val="none" w:color="FFFFFF" w:sz="0"/>
              <w:right w:val="none" w:color="FFFFFF" w:sz="0"/>
            </w:tcBorders>
            <w:shd w:fill="C9A84C" w:val="clear"/>
            <w:tcMar>
              <w:top w:type="dxa" w:w="120"/>
              <w:left w:type="dxa" w:w="120"/>
              <w:bottom w:type="dxa" w:w="120"/>
              <w:right w:type="dxa" w:w="120"/>
            </w:tcMar>
            <w:vAlign w:val="center"/>
          </w:tcPr>
          <w:p>
            <w:pPr>
              <w:jc w:val="center"/>
            </w:pPr>
            <w:r>
              <w:rPr>
                <w:rFonts w:ascii="Arial" w:cs="Arial" w:eastAsia="Arial" w:hAnsi="Arial"/>
                <w:b/>
                <w:bCs/>
                <w:color w:val="0A1628"/>
                <w:sz w:val="24"/>
                <w:szCs w:val="24"/>
              </w:rPr>
              <w:t xml:space="preserve">3 Credits</w:t>
            </w:r>
          </w:p>
        </w:tc>
      </w:tr>
    </w:tbl>
    <w:p>
      <w:pPr>
        <w:spacing w:after="120"/>
      </w:pPr>
    </w:p>
    <w:p>
      <w:pPr>
        <w:pStyle w:val="Heading3"/>
        <w:spacing w:after="80" w:before="200"/>
      </w:pPr>
      <w:r>
        <w:rPr>
          <w:rFonts w:ascii="Arial" w:cs="Arial" w:eastAsia="Arial" w:hAnsi="Arial"/>
          <w:b/>
          <w:bCs/>
          <w:color w:val="5A6475"/>
          <w:sz w:val="22"/>
          <w:szCs w:val="22"/>
        </w:rPr>
        <w:t xml:space="preserve">DCCC Course Description</w:t>
      </w:r>
    </w:p>
    <w:p>
      <w:pPr>
        <w:spacing w:after="120"/>
      </w:pPr>
      <w:r>
        <w:rPr>
          <w:rFonts w:ascii="Arial" w:cs="Arial" w:eastAsia="Arial" w:hAnsi="Arial"/>
          <w:sz w:val="22"/>
          <w:szCs w:val="22"/>
        </w:rPr>
        <w:t xml:space="preserve">Rules of evidence applicable in criminal proceedings: relevance, hearsay, authentication, chain of custody, constitutional exclusionary rule, and evidentiary standards. Students learn to identify admissible evidence and understand evidence rules in practice.</w:t>
      </w:r>
    </w:p>
    <w:p>
      <w:pPr>
        <w:pStyle w:val="Heading3"/>
        <w:spacing w:after="80" w:before="200"/>
      </w:pPr>
      <w:r>
        <w:rPr>
          <w:rFonts w:ascii="Arial" w:cs="Arial" w:eastAsia="Arial" w:hAnsi="Arial"/>
          <w:b/>
          <w:bCs/>
          <w:color w:val="5A6475"/>
          <w:sz w:val="22"/>
          <w:szCs w:val="22"/>
        </w:rPr>
        <w:t xml:space="preserve">Prior Learning Claim Statement</w:t>
      </w:r>
    </w:p>
    <w:p>
      <w:pPr>
        <w:spacing w:after="120"/>
      </w:pPr>
      <w:r>
        <w:rPr>
          <w:rFonts w:ascii="Arial" w:cs="Arial" w:eastAsia="Arial" w:hAnsi="Arial"/>
          <w:sz w:val="22"/>
          <w:szCs w:val="22"/>
        </w:rPr>
        <w:t xml:space="preserve">Alexa Shuda has applied evidence principles in assembling, organizing, and presenting evidence for OOR administrative proceedings, custody litigation, and federal civil rights case preparation. Her work demonstrates knowledge of relevance analysis, authentication requirements, chain of custody principles, hearsay identification, and the constitutional exclusionary rule.</w:t>
      </w:r>
    </w:p>
    <w:p>
      <w:pPr>
        <w:pStyle w:val="Heading3"/>
        <w:spacing w:after="80" w:before="200"/>
      </w:pPr>
      <w:r>
        <w:rPr>
          <w:rFonts w:ascii="Arial" w:cs="Arial" w:eastAsia="Arial" w:hAnsi="Arial"/>
          <w:b/>
          <w:bCs/>
          <w:color w:val="5A6475"/>
          <w:sz w:val="22"/>
          <w:szCs w:val="22"/>
        </w:rPr>
        <w:t xml:space="preserve">Evidence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Evidence Item</w:t>
            </w:r>
          </w:p>
        </w:tc>
        <w:tc>
          <w:tcPr>
            <w:tcW w:type="dxa" w:w="42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Description / Competency Demonstrated</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Location / Folder</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Exhibits A-R (OOR)</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18 authenticated exhibits submitted to OOR — evidence identification, authentication, and presentation skills</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05_RTKL_OOR_APPEALS/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Dilks Admissions / Affidavit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Sworn statement submitted as evidence — knowledge of affidavit as evidentiary instrument; admission against interest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05_RTKL_OOR_APPEALS/</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4th Amendment Exclusionary Research</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Research into unlawful seizure evidence and exclusionary rule application in §1983 context</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04_HATBORO_1983_EDPA/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Custody Evidence Organization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Mail tracking, withheld visitation log, text messages — evidence authentication and chain of custody in civil context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03_CONTEMPT_EVIDENCE/</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MASTER_EVIDENCE_INDEX.md</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Cross-referenced evidence index demonstrating relevance analysis — each item linked to legal theory it supports</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PLA_PORTFOLIO/</w:t>
            </w:r>
          </w:p>
        </w:tc>
      </w:tr>
    </w:tbl>
    <w:p>
      <w:pPr>
        <w:spacing w:after="120"/>
      </w:pPr>
    </w:p>
    <w:p>
      <w:pPr>
        <w:pStyle w:val="Heading3"/>
        <w:spacing w:after="80" w:before="200"/>
      </w:pPr>
      <w:r>
        <w:rPr>
          <w:rFonts w:ascii="Arial" w:cs="Arial" w:eastAsia="Arial" w:hAnsi="Arial"/>
          <w:b/>
          <w:bCs/>
          <w:color w:val="5A6475"/>
          <w:sz w:val="22"/>
          <w:szCs w:val="22"/>
        </w:rPr>
        <w:t xml:space="preserve">Competency Narrative</w:t>
      </w:r>
    </w:p>
    <w:p>
      <w:pPr>
        <w:spacing w:after="120"/>
      </w:pPr>
      <w:r>
        <w:rPr>
          <w:rFonts w:ascii="Arial" w:cs="Arial" w:eastAsia="Arial" w:hAnsi="Arial"/>
          <w:sz w:val="22"/>
          <w:szCs w:val="22"/>
        </w:rPr>
        <w:t xml:space="preserve">Evidence law requires the ability to identify what is relevant, assess whether it is admissible, understand how to authenticate it, and recognize constitutional bars to its use. Alexa Shuda has applied each of these skills in real proceedings.</w:t>
      </w:r>
    </w:p>
    <w:p>
      <w:pPr>
        <w:spacing w:after="120"/>
      </w:pPr>
      <w:r>
        <w:rPr>
          <w:rFonts w:ascii="Arial" w:cs="Arial" w:eastAsia="Arial" w:hAnsi="Arial"/>
          <w:sz w:val="22"/>
          <w:szCs w:val="22"/>
        </w:rPr>
        <w:t xml:space="preserve">Her assembly of Exhibits A through R for the OOR appeals required relevance analysis (does this document tend to prove or disprove a material fact in the RTKL dispute?) and authentication (can this document be presented as what it purports to be?). The Dilks admissions affidavit demonstrates knowledge of sworn declarations as testimonial evidence, requirements for a valid affidavit, and the evidentiary weight of an admission against interest.</w:t>
      </w:r>
    </w:p>
    <w:p>
      <w:pPr>
        <w:spacing w:after="120"/>
      </w:pPr>
      <w:r>
        <w:rPr>
          <w:rFonts w:ascii="Arial" w:cs="Arial" w:eastAsia="Arial" w:hAnsi="Arial"/>
          <w:sz w:val="22"/>
          <w:szCs w:val="22"/>
        </w:rPr>
        <w:t xml:space="preserve">Her Fourth Amendment research for the §1983 matter required engagement with the constitutional exclusionary rule — the principle that evidence obtained in violation of the Fourth Amendment is inadmissible. Her analysis of whether the seizure at issue was constitutional required understanding the warrant requirement, exceptions to it, and the consequences of a constitutional violation under Mapp v. Ohio and its progeny. This constitutional evidence doctrine is squarely within ADJ 225's scope.</w:t>
      </w:r>
    </w:p>
    <w:p>
      <w:pPr>
        <w:spacing w:after="120"/>
      </w:pPr>
      <w:r>
        <w:rPr>
          <w:rFonts w:ascii="Arial" w:cs="Arial" w:eastAsia="Arial" w:hAnsi="Arial"/>
          <w:sz w:val="22"/>
          <w:szCs w:val="22"/>
        </w:rPr>
        <w:t xml:space="preserve">Her custody and contempt evidence organization demonstrates chain of custody principles in the civil context: mail tracking records, timestamped communications, and a chronological log maintained with sufficient specificity to establish that records accurately reflect the events they document.</w:t>
      </w:r>
    </w:p>
    <w:p>
      <w:pPr>
        <w:pStyle w:val="Heading1"/>
        <w:pageBreakBefore/>
        <w:pBdr>
          <w:bottom w:val="single" w:color="C9A84C" w:sz="8" w:space="4"/>
        </w:pBdr>
        <w:spacing w:after="200" w:before="0"/>
      </w:pPr>
      <w:r>
        <w:rPr>
          <w:rFonts w:ascii="Arial" w:cs="Arial" w:eastAsia="Arial" w:hAnsi="Arial"/>
          <w:b/>
          <w:bCs/>
          <w:color w:val="0A1628"/>
          <w:sz w:val="32"/>
          <w:szCs w:val="32"/>
        </w:rPr>
        <w:t xml:space="preserve">SECTION IV: BEHAVIORAL &amp; SOCIAL SCIENCE ELECTIVE</w:t>
      </w:r>
    </w:p>
    <w:p>
      <w:pPr>
        <w:spacing w:after="120"/>
      </w:pPr>
      <w:r>
        <w:rPr>
          <w:rFonts w:ascii="Arial" w:cs="Arial" w:eastAsia="Arial" w:hAnsi="Arial"/>
          <w:sz w:val="22"/>
          <w:szCs w:val="22"/>
        </w:rPr>
        <w:t xml:space="preserve">The program requires one Arts, Humanities, and Social Science (AHSS) elective. SOC 101 satisfies this requirement.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0A1628" w:val="clear"/>
            <w:tcMar>
              <w:top w:type="dxa" w:w="120"/>
              <w:left w:type="dxa" w:w="200"/>
              <w:bottom w:type="dxa" w:w="120"/>
              <w:right w:type="dxa" w:w="120"/>
            </w:tcMar>
          </w:tcPr>
          <w:p>
            <w:r>
              <w:rPr>
                <w:rFonts w:ascii="Arial" w:cs="Arial" w:eastAsia="Arial" w:hAnsi="Arial"/>
                <w:b/>
                <w:bCs/>
                <w:color w:val="C9A84C"/>
                <w:sz w:val="20"/>
                <w:szCs w:val="20"/>
              </w:rPr>
              <w:t xml:space="preserve">SOC 101 | General Education (BSS Elective)</w:t>
            </w:r>
          </w:p>
          <w:p>
            <w:r>
              <w:rPr>
                <w:rFonts w:ascii="Arial" w:cs="Arial" w:eastAsia="Arial" w:hAnsi="Arial"/>
                <w:b/>
                <w:bCs/>
                <w:color w:val="FFFFFF"/>
                <w:sz w:val="28"/>
                <w:szCs w:val="28"/>
              </w:rPr>
              <w:t xml:space="preserve">Introduction to Sociology</w:t>
            </w:r>
          </w:p>
        </w:tc>
        <w:tc>
          <w:tcPr>
            <w:tcW w:type="dxa" w:w="2360"/>
            <w:tcBorders>
              <w:top w:val="none" w:color="FFFFFF" w:sz="0"/>
              <w:left w:val="none" w:color="FFFFFF" w:sz="0"/>
              <w:bottom w:val="none" w:color="FFFFFF" w:sz="0"/>
              <w:right w:val="none" w:color="FFFFFF" w:sz="0"/>
            </w:tcBorders>
            <w:shd w:fill="C9A84C" w:val="clear"/>
            <w:tcMar>
              <w:top w:type="dxa" w:w="120"/>
              <w:left w:type="dxa" w:w="120"/>
              <w:bottom w:type="dxa" w:w="120"/>
              <w:right w:type="dxa" w:w="120"/>
            </w:tcMar>
            <w:vAlign w:val="center"/>
          </w:tcPr>
          <w:p>
            <w:pPr>
              <w:jc w:val="center"/>
            </w:pPr>
            <w:r>
              <w:rPr>
                <w:rFonts w:ascii="Arial" w:cs="Arial" w:eastAsia="Arial" w:hAnsi="Arial"/>
                <w:b/>
                <w:bCs/>
                <w:color w:val="0A1628"/>
                <w:sz w:val="24"/>
                <w:szCs w:val="24"/>
              </w:rPr>
              <w:t xml:space="preserve">3 Credits</w:t>
            </w:r>
          </w:p>
        </w:tc>
      </w:tr>
    </w:tbl>
    <w:p>
      <w:pPr>
        <w:spacing w:after="120"/>
      </w:pPr>
    </w:p>
    <w:p>
      <w:pPr>
        <w:pStyle w:val="Heading3"/>
        <w:spacing w:after="80" w:before="200"/>
      </w:pPr>
      <w:r>
        <w:rPr>
          <w:rFonts w:ascii="Arial" w:cs="Arial" w:eastAsia="Arial" w:hAnsi="Arial"/>
          <w:b/>
          <w:bCs/>
          <w:color w:val="5A6475"/>
          <w:sz w:val="22"/>
          <w:szCs w:val="22"/>
        </w:rPr>
        <w:t xml:space="preserve">DCCC Course Description</w:t>
      </w:r>
    </w:p>
    <w:p>
      <w:pPr>
        <w:spacing w:after="120"/>
      </w:pPr>
      <w:r>
        <w:rPr>
          <w:rFonts w:ascii="Arial" w:cs="Arial" w:eastAsia="Arial" w:hAnsi="Arial"/>
          <w:sz w:val="22"/>
          <w:szCs w:val="22"/>
        </w:rPr>
        <w:t xml:space="preserve">Introduction to sociological concepts: social structure, culture, stratification, institutions, and social change. Students develop sociological perspective and apply it to contemporary social phenomena.</w:t>
      </w:r>
    </w:p>
    <w:p>
      <w:pPr>
        <w:pStyle w:val="Heading3"/>
        <w:spacing w:after="80" w:before="200"/>
      </w:pPr>
      <w:r>
        <w:rPr>
          <w:rFonts w:ascii="Arial" w:cs="Arial" w:eastAsia="Arial" w:hAnsi="Arial"/>
          <w:b/>
          <w:bCs/>
          <w:color w:val="5A6475"/>
          <w:sz w:val="22"/>
          <w:szCs w:val="22"/>
        </w:rPr>
        <w:t xml:space="preserve">Prior Learning Claim Statement</w:t>
      </w:r>
    </w:p>
    <w:p>
      <w:pPr>
        <w:spacing w:after="120"/>
      </w:pPr>
      <w:r>
        <w:rPr>
          <w:rFonts w:ascii="Arial" w:cs="Arial" w:eastAsia="Arial" w:hAnsi="Arial"/>
          <w:sz w:val="22"/>
          <w:szCs w:val="22"/>
        </w:rPr>
        <w:t xml:space="preserve">Sociological competency is demonstrated through AmeriCorps NCCC service — two full terms in a federal community service program operating at the intersection of social welfare, community development, and civic engagement — and through civil rights advocacy engaging with structural dimensions of institutional power.</w:t>
      </w:r>
    </w:p>
    <w:p>
      <w:pPr>
        <w:pStyle w:val="Heading3"/>
        <w:spacing w:after="80" w:before="200"/>
      </w:pPr>
      <w:r>
        <w:rPr>
          <w:rFonts w:ascii="Arial" w:cs="Arial" w:eastAsia="Arial" w:hAnsi="Arial"/>
          <w:b/>
          <w:bCs/>
          <w:color w:val="5A6475"/>
          <w:sz w:val="22"/>
          <w:szCs w:val="22"/>
        </w:rPr>
        <w:t xml:space="preserve">Evidence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Evidence Item</w:t>
            </w:r>
          </w:p>
        </w:tc>
        <w:tc>
          <w:tcPr>
            <w:tcW w:type="dxa" w:w="42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Description / Competency Demonstrated</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Location / Folder</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AmeriCorps NCCC — Atlantic Term</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1,746 hours federal service — community development, social welfare, disaster relief, diverse community contexts</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00_GENERAL_STUDIES_EVIDENCE/AMERICORPS_NCCC/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AmeriCorps NCCC — Pacific Term</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1,883 hours federal service — community organizing, civic engagement, public health projects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00_GENERAL_STUDIES_EVIDENCE/AMERICORPS_NCCC/</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Civil Rights Advocacy</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Engagement with institutional power structures, systemic accountability, and community-justice system relations</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04_HATBORO_1983_EDPA/</w:t>
            </w:r>
          </w:p>
        </w:tc>
      </w:tr>
    </w:tbl>
    <w:p>
      <w:pPr>
        <w:spacing w:after="120"/>
      </w:pPr>
    </w:p>
    <w:p>
      <w:pPr>
        <w:pStyle w:val="Heading3"/>
        <w:spacing w:after="80" w:before="200"/>
      </w:pPr>
      <w:r>
        <w:rPr>
          <w:rFonts w:ascii="Arial" w:cs="Arial" w:eastAsia="Arial" w:hAnsi="Arial"/>
          <w:b/>
          <w:bCs/>
          <w:color w:val="5A6475"/>
          <w:sz w:val="22"/>
          <w:szCs w:val="22"/>
        </w:rPr>
        <w:t xml:space="preserve">Competency Narrative</w:t>
      </w:r>
    </w:p>
    <w:p>
      <w:pPr>
        <w:spacing w:after="120"/>
      </w:pPr>
      <w:r>
        <w:rPr>
          <w:rFonts w:ascii="Arial" w:cs="Arial" w:eastAsia="Arial" w:hAnsi="Arial"/>
          <w:sz w:val="22"/>
          <w:szCs w:val="22"/>
        </w:rPr>
        <w:t xml:space="preserve">AmeriCorps NCCC (42 U.S.C. §§12611-12626) operates at the intersection of social welfare, community development, and civic engagement — applied dimensions of sociological study. Two completed full terms (3,629 total hours) across the Atlantic and Pacific regions exposed Alexa Shuda to diverse communities, social welfare systems, disaster relief operations, and community organizing efforts. This field experience maps directly to the sociological study of institutions, social change, and community structures that SOC 101 addresses.</w:t>
      </w:r>
    </w:p>
    <w:p>
      <w:pPr>
        <w:spacing w:after="120"/>
      </w:pPr>
      <w:r>
        <w:rPr>
          <w:rFonts w:ascii="Arial" w:cs="Arial" w:eastAsia="Arial" w:hAnsi="Arial"/>
          <w:sz w:val="22"/>
          <w:szCs w:val="22"/>
        </w:rPr>
        <w:t xml:space="preserve">Her civil rights work also engages with core sociological concepts: institutional power, social stratification in the justice system, community-police relations as a social institution, and the structural dimensions of legal inequality. Her advocacy reflects sociological awareness of how institutional systems operate and how individuals navigate those systems — the kind of applied sociological thinking SOC 101 develops.</w:t>
      </w:r>
    </w:p>
    <w:p>
      <w:r>
        <w:br w:type="page"/>
      </w:r>
    </w:p>
    <w:p>
      <w:pPr>
        <w:pStyle w:val="Heading1"/>
        <w:pageBreakBefore/>
        <w:pBdr>
          <w:bottom w:val="single" w:color="C9A84C" w:sz="8" w:space="4"/>
        </w:pBdr>
        <w:spacing w:after="200" w:before="0"/>
      </w:pPr>
      <w:r>
        <w:rPr>
          <w:rFonts w:ascii="Arial" w:cs="Arial" w:eastAsia="Arial" w:hAnsi="Arial"/>
          <w:b/>
          <w:bCs/>
          <w:color w:val="0A1628"/>
          <w:sz w:val="32"/>
          <w:szCs w:val="32"/>
        </w:rPr>
        <w:t xml:space="preserve">CERTIFICATION AND ASSESSOR RECORD</w:t>
      </w:r>
    </w:p>
    <w:p>
      <w:pPr>
        <w:spacing w:after="120"/>
      </w:pPr>
      <w:r>
        <w:rPr>
          <w:rFonts w:ascii="Arial" w:cs="Arial" w:eastAsia="Arial" w:hAnsi="Arial"/>
          <w:sz w:val="22"/>
          <w:szCs w:val="22"/>
        </w:rPr>
        <w:t xml:space="preserve">I, Alexa Shuda, certify that all evidence presented in this Prior Learning Assessment portfolio is authentic, accurately described, and directly reflective of skills and knowledge I have developed through experiential learning. I understand that misrepresentation of any evidence may result in denial of PLA credit and academic consequences under DCCC's Academic Integrity Policy.</w:t>
      </w:r>
    </w:p>
    <w:p>
      <w:pPr>
        <w:spacing w:after="400"/>
      </w:pPr>
    </w:p>
    <w:p>
      <w:pPr>
        <w:spacing w:after="200"/>
      </w:pPr>
      <w:r>
        <w:rPr>
          <w:rFonts w:ascii="Arial" w:cs="Arial" w:eastAsia="Arial" w:hAnsi="Arial"/>
          <w:sz w:val="22"/>
          <w:szCs w:val="22"/>
        </w:rPr>
        <w:t xml:space="preserve">Signature: ________________________________________   </w:t>
      </w:r>
      <w:r>
        <w:rPr>
          <w:rFonts w:ascii="Arial" w:cs="Arial" w:eastAsia="Arial" w:hAnsi="Arial"/>
          <w:sz w:val="22"/>
          <w:szCs w:val="22"/>
        </w:rPr>
        <w:t xml:space="preserve">Date: __________________</w:t>
      </w:r>
    </w:p>
    <w:p>
      <w:pPr>
        <w:spacing w:after="400"/>
      </w:pPr>
      <w:r>
        <w:rPr>
          <w:rFonts w:ascii="Arial" w:cs="Arial" w:eastAsia="Arial" w:hAnsi="Arial"/>
          <w:color w:val="5A6475"/>
          <w:sz w:val="20"/>
          <w:szCs w:val="20"/>
        </w:rPr>
        <w:t xml:space="preserve">Alexa Shuda  |  Student ID: P00721319  |  lex@puuere.com</w:t>
      </w:r>
    </w:p>
    <w:p>
      <w:pPr>
        <w:pBdr>
          <w:bottom w:val="single" w:color="C9A84C" w:sz="4" w:space="2"/>
        </w:pBdr>
        <w:spacing w:after="160"/>
      </w:pPr>
    </w:p>
    <w:p>
      <w:pPr>
        <w:spacing w:after="300"/>
        <w:jc w:val="center"/>
      </w:pPr>
      <w:r>
        <w:rPr>
          <w:rFonts w:ascii="Arial" w:cs="Arial" w:eastAsia="Arial" w:hAnsi="Arial"/>
          <w:b/>
          <w:bCs/>
          <w:color w:val="0A1628"/>
          <w:sz w:val="20"/>
          <w:szCs w:val="20"/>
        </w:rPr>
        <w:t xml:space="preserve">FOR DCCC ASSESSOR USE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Evidence Item</w:t>
            </w:r>
          </w:p>
        </w:tc>
        <w:tc>
          <w:tcPr>
            <w:tcW w:type="dxa" w:w="42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Description / Competency Demonstrated</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Location / Folder</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LGL 100 — Intro Legal Studies</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Credits Awarded: ______</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Assessor Initials: ______</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LGL 110 — Legal Research &amp; Writing I</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Credits Awarded: ______</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Assessor Initials: ______</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LGL 120 — Legal Research &amp; Writing II</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Credits Awarded: ______</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Assessor Initials: ______</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LGL 130 — Technology in the Law</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Credits Awarded: ______</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Assessor Initials: ______</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LGL 140 — Contract Law</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Credits Awarded: ______</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Assessor Initials: ______</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LGL 210 — Civil Lit &amp; Tort Principles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Credits Awarded: ______</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Assessor Initials: ______</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LGL 211 — Civil Lit &amp; Tort Applications</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Credits Awarded: ______</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Assessor Initials: ______</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LGL 199 — Legal Ethics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Credits Awarded: ______</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Assessor Initials: ______</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ENG 100 — English Composition I</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Credits Awarded: ______</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Assessor Initials: ______</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ENG 112 — Advanced Writing</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Credits Awarded: ______</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Assessor Initials: ______</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BUS 104 — Quantitative Reasoning</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Credits Awarded: ______</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Assessor Initials: ______</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SPC 101 — Oral Communications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Credits Awarded: ______</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Assessor Initials: ______</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PHI 100 — Global Understanding</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Credits Awarded: ______</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Assessor Initials: ______</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ADJ 241 — Diversity &amp; Justice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Credits Awarded: ______</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Assessor Initials: ______</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LGL 240 — Family Law</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Credits Awarded: ______</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Assessor Initials: ______</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LGL 246 — Constitutional Law</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Credits Awarded: ______</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Assessor Initials: ______</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ADJ 101 — Intro Criminal Justice</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Credits Awarded: ______</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Assessor Initials: ______</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ADJ 225 — Criminal Evidence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Credits Awarded: ______</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Assessor Initials: ______</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SOC 101 — Intro Sociology</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Credits Awarded: ______</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Assessor Initials: ______</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TOTAL PLA CREDITS AWARDED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_______ / 57 maximum</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Lead Assessor: __________</w:t>
            </w:r>
          </w:p>
        </w:tc>
      </w:tr>
    </w:tbl>
    <w:sectPr>
      <w:headerReference w:type="default" r:id="rId7"/>
      <w:footerReference w:type="default" r:id="rId8"/>
      <w:pgSz w:w="12240" w:h="15840" w:orient="portrait"/>
      <w:pgMar w:top="1200" w:right="1260" w:bottom="12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1628" w:sz="4" w:space="2"/>
      </w:pBdr>
      <w:spacing w:before="60"/>
      <w:jc w:val="center"/>
    </w:pPr>
    <w:r>
      <w:rPr>
        <w:rFonts w:ascii="Arial" w:cs="Arial" w:eastAsia="Arial" w:hAnsi="Arial"/>
        <w:b/>
        <w:bCs/>
        <w:color w:val="8B0000"/>
        <w:sz w:val="16"/>
        <w:szCs w:val="16"/>
      </w:rPr>
      <w:t xml:space="preserve">CONFIDENTIAL — FOR DCCC ACADEMIC REVIEW ONLY  |  Page </w:t>
    </w:r>
    <w:r>
      <w:rPr>
        <w:rFonts w:ascii="Arial" w:cs="Arial" w:eastAsia="Arial" w:hAnsi="Arial"/>
        <w:b/>
        <w:bCs/>
        <w:color w:val="8B0000"/>
        <w:sz w:val="16"/>
        <w:szCs w:val="16"/>
      </w:rPr>
      <w:fldChar w:fldCharType="begin"/>
      <w:instrText xml:space="preserve">PAGE</w:instrText>
      <w:fldChar w:fldCharType="separate"/>
      <w:fldChar w:fldCharType="end"/>
    </w:r>
    <w:r>
      <w:rPr>
        <w:rFonts w:ascii="Arial" w:cs="Arial" w:eastAsia="Arial" w:hAnsi="Arial"/>
        <w:b/>
        <w:bCs/>
        <w:color w:val="8B0000"/>
        <w:sz w:val="16"/>
        <w:szCs w:val="16"/>
      </w:rPr>
      <w:t xml:space="preserve"> of </w:t>
    </w:r>
    <w:r>
      <w:rPr>
        <w:rFonts w:ascii="Arial" w:cs="Arial" w:eastAsia="Arial" w:hAnsi="Arial"/>
        <w:b/>
        <w:bCs/>
        <w:color w:val="8B000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2"/>
      </w:pBdr>
      <w:spacing w:after="60"/>
      <w:jc w:val="center"/>
    </w:pPr>
    <w:r>
      <w:rPr>
        <w:rFonts w:ascii="Arial" w:cs="Arial" w:eastAsia="Arial" w:hAnsi="Arial"/>
        <w:b/>
        <w:bCs/>
        <w:color w:val="0A1628"/>
        <w:sz w:val="18"/>
        <w:szCs w:val="18"/>
      </w:rPr>
      <w:t xml:space="preserve">Alexa Shuda  |  Student ID: P00721319</w:t>
    </w:r>
  </w:p>
  <w:p>
    <w:pPr>
      <w:spacing w:after="0"/>
      <w:jc w:val="center"/>
    </w:pPr>
    <w:r>
      <w:rPr>
        <w:rFonts w:ascii="Arial" w:cs="Arial" w:eastAsia="Arial" w:hAnsi="Arial"/>
        <w:color w:val="5A6475"/>
        <w:sz w:val="16"/>
        <w:szCs w:val="16"/>
      </w:rPr>
      <w:t xml:space="preserve">Delaware County Community College  |  Legal Studies (LGL) Program  |  Prior Learning Assessment Portfolio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0A1628"/>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1A2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A647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2026-06-11T08:56:07.056Z</dcterms:created>
  <dcterms:modified xsi:type="dcterms:W3CDTF">2026-06-11T08:56:07.056Z</dcterms:modified>
</cp:coreProperties>
</file>

<file path=docProps/custom.xml><?xml version="1.0" encoding="utf-8"?>
<Properties xmlns="http://schemas.openxmlformats.org/officeDocument/2006/custom-properties" xmlns:vt="http://schemas.openxmlformats.org/officeDocument/2006/docPropsVTypes"/>
</file>