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0A1628"/>
          <w:sz w:val="40"/>
          <w:szCs w:val="40"/>
        </w:rPr>
        <w:t xml:space="preserve">PRIOR LEARNING ASSESSMENT PORTFOLIO</w:t>
      </w:r>
    </w:p>
    <w:p>
      <w:pPr>
        <w:pBdr>
          <w:bottom w:val="single" w:color="C9A84C" w:sz="10" w:space="4"/>
        </w:pBdr>
        <w:spacing w:after="500"/>
        <w:jc w:val="center"/>
      </w:pPr>
      <w:r>
        <w:rPr>
          <w:rFonts w:ascii="Arial" w:cs="Arial" w:eastAsia="Arial" w:hAnsi="Arial"/>
          <w:color w:val="C9A84C"/>
          <w:sz w:val="28"/>
          <w:szCs w:val="28"/>
        </w:rPr>
        <w:t xml:space="preserve">Associate in Arts — Legal and Paralegal Studies (LGL)</w:t>
      </w:r>
    </w:p>
    <w:p>
      <w:pPr>
        <w:spacing w:after="300"/>
      </w:pPr>
    </w:p>
    <w:p>
      <w:pPr>
        <w:spacing w:after="80"/>
        <w:jc w:val="center"/>
      </w:pPr>
      <w:r>
        <w:rPr>
          <w:rFonts w:ascii="Arial" w:cs="Arial" w:eastAsia="Arial" w:hAnsi="Arial"/>
          <w:b/>
          <w:bCs/>
          <w:color w:val="0A1628"/>
          <w:sz w:val="28"/>
          <w:szCs w:val="28"/>
        </w:rPr>
        <w:t xml:space="preserve">Alexa Shuda (f.k.a. Rossini)</w:t>
      </w:r>
    </w:p>
    <w:p>
      <w:pPr>
        <w:spacing w:after="80"/>
        <w:jc w:val="center"/>
      </w:pPr>
      <w:r>
        <w:rPr>
          <w:rFonts w:ascii="Arial" w:cs="Arial" w:eastAsia="Arial" w:hAnsi="Arial"/>
          <w:color w:val="1A1A2E"/>
          <w:sz w:val="22"/>
          <w:szCs w:val="22"/>
        </w:rPr>
        <w:t xml:space="preserve">Student ID: P00721319  |  lex@puuere.com</w:t>
      </w:r>
    </w:p>
    <w:p>
      <w:pPr>
        <w:spacing w:after="300"/>
      </w:pPr>
    </w:p>
    <w:p>
      <w:pPr>
        <w:spacing w:after="80"/>
        <w:jc w:val="center"/>
      </w:pPr>
      <w:r>
        <w:rPr>
          <w:rFonts w:ascii="Arial" w:cs="Arial" w:eastAsia="Arial" w:hAnsi="Arial"/>
          <w:b/>
          <w:bCs/>
          <w:color w:val="0A1628"/>
          <w:sz w:val="24"/>
          <w:szCs w:val="24"/>
        </w:rPr>
        <w:t xml:space="preserve">Delaware County Community College</w:t>
      </w:r>
    </w:p>
    <w:p>
      <w:pPr>
        <w:spacing w:after="80"/>
        <w:jc w:val="center"/>
      </w:pPr>
      <w:r>
        <w:rPr>
          <w:rFonts w:ascii="Arial" w:cs="Arial" w:eastAsia="Arial" w:hAnsi="Arial"/>
          <w:color w:val="1A1A2E"/>
          <w:sz w:val="22"/>
          <w:szCs w:val="22"/>
        </w:rPr>
        <w:t xml:space="preserve">Department of Legal Studies &amp; Criminal Justice</w:t>
      </w:r>
    </w:p>
    <w:p>
      <w:pPr>
        <w:spacing w:after="80"/>
        <w:jc w:val="center"/>
      </w:pPr>
      <w:r>
        <w:rPr>
          <w:rFonts w:ascii="Arial" w:cs="Arial" w:eastAsia="Arial" w:hAnsi="Arial"/>
          <w:color w:val="5A6475"/>
          <w:sz w:val="22"/>
          <w:szCs w:val="22"/>
        </w:rPr>
        <w:t xml:space="preserve">Catalog Year: Fall/Winter 2025</w:t>
      </w:r>
    </w:p>
    <w:p>
      <w:pPr>
        <w:spacing w:after="300"/>
      </w:pPr>
    </w:p>
    <w:p>
      <w:pPr>
        <w:spacing w:after="60"/>
        <w:jc w:val="center"/>
      </w:pPr>
      <w:r>
        <w:rPr>
          <w:rFonts w:ascii="Arial" w:cs="Arial" w:eastAsia="Arial" w:hAnsi="Arial"/>
          <w:color w:val="5A6475"/>
          <w:sz w:val="20"/>
          <w:szCs w:val="20"/>
        </w:rPr>
        <w:t xml:space="preserve">CONCENTRATION DECLARED:</w:t>
      </w:r>
    </w:p>
    <w:p>
      <w:pPr>
        <w:spacing w:after="200"/>
        <w:jc w:val="center"/>
      </w:pPr>
      <w:r>
        <w:rPr>
          <w:rFonts w:ascii="Arial" w:cs="Arial" w:eastAsia="Arial" w:hAnsi="Arial"/>
          <w:b/>
          <w:bCs/>
          <w:color w:val="C9A84C"/>
          <w:sz w:val="30"/>
          <w:szCs w:val="30"/>
        </w:rPr>
        <w:t xml:space="preserve">LAW AND CRIMINAL JUSTICE</w:t>
      </w:r>
    </w:p>
    <w:p>
      <w:pPr>
        <w:spacing w:after="300"/>
      </w:pPr>
    </w:p>
    <w:p>
      <w:pPr>
        <w:spacing w:after="80"/>
        <w:jc w:val="center"/>
      </w:pPr>
      <w:r>
        <w:rPr>
          <w:rFonts w:ascii="Arial" w:cs="Arial" w:eastAsia="Arial" w:hAnsi="Arial"/>
          <w:color w:val="5A6475"/>
          <w:sz w:val="22"/>
          <w:szCs w:val="22"/>
        </w:rPr>
        <w:t xml:space="preserve">Submission Date: June 2026</w:t>
      </w:r>
    </w:p>
    <w:p>
      <w:pPr>
        <w:spacing w:after="80"/>
        <w:jc w:val="center"/>
      </w:pPr>
      <w:r>
        <w:rPr>
          <w:rFonts w:ascii="Arial" w:cs="Arial" w:eastAsia="Arial" w:hAnsi="Arial"/>
          <w:color w:val="5A6475"/>
          <w:sz w:val="20"/>
          <w:szCs w:val="20"/>
        </w:rPr>
        <w:t xml:space="preserve">Degree Works Audit Reference: audit-P00721319-A002u9po  |  Audit Date: 06/09/2026</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PORTFOLIO OVERVIEW</w:t>
      </w:r>
    </w:p>
    <w:p>
      <w:pPr>
        <w:pStyle w:val="Heading2"/>
        <w:spacing w:after="120" w:before="280"/>
      </w:pPr>
      <w:r>
        <w:rPr>
          <w:rFonts w:ascii="Arial" w:cs="Arial" w:eastAsia="Arial" w:hAnsi="Arial"/>
          <w:b/>
          <w:bCs/>
          <w:color w:val="1A1A2E"/>
          <w:sz w:val="26"/>
          <w:szCs w:val="26"/>
        </w:rPr>
        <w:t xml:space="preserve">About This Submission</w:t>
      </w:r>
    </w:p>
    <w:p>
      <w:pPr>
        <w:spacing w:after="120"/>
      </w:pPr>
      <w:r>
        <w:rPr>
          <w:rFonts w:ascii="Arial" w:cs="Arial" w:eastAsia="Arial" w:hAnsi="Arial"/>
          <w:sz w:val="22"/>
          <w:szCs w:val="22"/>
        </w:rPr>
        <w:t xml:space="preserve">This Prior Learning Assessment (PLA) portfolio documents experiential learning competencies equivalent to 36 credit hours of coursework in the Associate in Arts, Legal and Paralegal Studies (LGL) program at Delaware County Community College. It is submitted pursuant to DCCC's Credit for Prior Learning policy and is calibrated against the official Degree Works audit for Student ID P00721319 (audit date 06/09/2026, catalog year Fall/Winter 2025).</w:t>
      </w:r>
    </w:p>
    <w:p>
      <w:pPr>
        <w:spacing w:after="120"/>
      </w:pPr>
      <w:r>
        <w:rPr>
          <w:rFonts w:ascii="Arial" w:cs="Arial" w:eastAsia="Arial" w:hAnsi="Arial"/>
          <w:sz w:val="22"/>
          <w:szCs w:val="22"/>
        </w:rPr>
        <w:t xml:space="preserve">This portfolio claims PLA credit for 12 courses exclusively within the legal studies major core and the Law and Criminal Justice concentration — the subject-matter areas where experiential evidence is deepest and most direct. General education and elective requirements will be satisfied through separate mechanisms (CLEP examination or enrollment) and are not claimed here.</w:t>
      </w:r>
    </w:p>
    <w:p>
      <w:pPr>
        <w:pStyle w:val="Heading2"/>
        <w:spacing w:after="120" w:before="280"/>
      </w:pPr>
      <w:r>
        <w:rPr>
          <w:rFonts w:ascii="Arial" w:cs="Arial" w:eastAsia="Arial" w:hAnsi="Arial"/>
          <w:b/>
          <w:bCs/>
          <w:color w:val="1A1A2E"/>
          <w:sz w:val="26"/>
          <w:szCs w:val="26"/>
        </w:rPr>
        <w:t xml:space="preserve">Concentration Declaration</w:t>
      </w:r>
    </w:p>
    <w:p>
      <w:pPr>
        <w:spacing w:after="120"/>
      </w:pPr>
      <w:r>
        <w:rPr>
          <w:rFonts w:ascii="Arial" w:cs="Arial" w:eastAsia="Arial" w:hAnsi="Arial"/>
          <w:sz w:val="22"/>
          <w:szCs w:val="22"/>
        </w:rPr>
        <w:t xml:space="preserve">The petitioner declares the LAW AND CRIMINAL JUSTICE concentration. This concentration requires five courses: ADJ 241, LGL 240, and LGL 246 as mandatory components, with ADJ 101 and ADJ 225 completing the five required courses. ADJ 241 additionally satisfies the Diversity &amp; Justice (DJ) General Education attribute. LGL 130 additionally satisfies the General Education Information Technology (TC) attribute.</w:t>
      </w:r>
    </w:p>
    <w:p>
      <w:pPr>
        <w:pStyle w:val="Heading2"/>
        <w:spacing w:after="120" w:before="280"/>
      </w:pPr>
      <w:r>
        <w:rPr>
          <w:rFonts w:ascii="Arial" w:cs="Arial" w:eastAsia="Arial" w:hAnsi="Arial"/>
          <w:b/>
          <w:bCs/>
          <w:color w:val="1A1A2E"/>
          <w:sz w:val="26"/>
          <w:szCs w:val="26"/>
        </w:rPr>
        <w:t xml:space="preserve">PLA Credit Summary — 36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Courses</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Credits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Major Core (LGL)</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LGL 100, LGL 110, LGL 120, LGL 130, LGL 210, LGL 211, LGL 199</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7 courses / 21 credits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Concentration (Law &amp; CJ)</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ADJ 241, LGL 240, LGL 246, ADJ 101, ADJ 225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5 courses / 15 credits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Double-count: LGL 130 (TC)</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Satisfies major core AND Gen Ed IT requirement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(counted in core above)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Double-count: ADJ 241 (DJ)</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Satisfies concentration AND Gen Ed Diversity &amp; Justice requirement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(counted above)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TOTAL PLA CLAIM</w:t>
            </w:r>
          </w:p>
        </w:tc>
        <w:tc>
          <w:tcPr>
            <w:tcW w:type="dxa" w:w="4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12 distinct courses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36 credits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Remaining requirements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Gen Ed + elective (CLEP or enrollment)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25 credits outside this portfolio</w:t>
            </w:r>
          </w:p>
        </w:tc>
      </w:tr>
    </w:tbl>
    <w:p>
      <w:pPr>
        <w:spacing w:after="120"/>
      </w:pPr>
    </w:p>
    <w:p>
      <w:pPr>
        <w:pStyle w:val="Heading2"/>
        <w:spacing w:after="120" w:before="280"/>
      </w:pPr>
      <w:r>
        <w:rPr>
          <w:rFonts w:ascii="Arial" w:cs="Arial" w:eastAsia="Arial" w:hAnsi="Arial"/>
          <w:b/>
          <w:bCs/>
          <w:color w:val="1A1A2E"/>
          <w:sz w:val="26"/>
          <w:szCs w:val="26"/>
        </w:rPr>
        <w:t xml:space="preserve">Courses NOT Claimed — Recommended for CLEP or Enrollment</w:t>
      </w:r>
    </w:p>
    <w:p>
      <w:pPr>
        <w:spacing w:after="120"/>
      </w:pPr>
      <w:r>
        <w:rPr>
          <w:rFonts w:ascii="Arial" w:cs="Arial" w:eastAsia="Arial" w:hAnsi="Arial"/>
          <w:sz w:val="22"/>
          <w:szCs w:val="22"/>
        </w:rPr>
        <w:t xml:space="preserve">The following 7 courses from the degree program are not addressed in this portfolio. CLEP examinations are available for most of these general education courses and are recommended as the most efficient path to completion.</w:t>
      </w:r>
    </w:p>
    <w:p>
      <w:pPr>
        <w:pStyle w:val="ListParagraph"/>
        <w:numPr>
          <w:ilvl w:val="0"/>
          <w:numId w:val="2"/>
        </w:numPr>
        <w:spacing w:after="60"/>
      </w:pPr>
      <w:r>
        <w:rPr>
          <w:rFonts w:ascii="Arial" w:cs="Arial" w:eastAsia="Arial" w:hAnsi="Arial"/>
          <w:sz w:val="22"/>
          <w:szCs w:val="22"/>
        </w:rPr>
        <w:t xml:space="preserve">ENG 100 — English Composition I  →  CLEP: College Composition</w:t>
      </w:r>
    </w:p>
    <w:p>
      <w:pPr>
        <w:pStyle w:val="ListParagraph"/>
        <w:numPr>
          <w:ilvl w:val="0"/>
          <w:numId w:val="2"/>
        </w:numPr>
        <w:spacing w:after="60"/>
      </w:pPr>
      <w:r>
        <w:rPr>
          <w:rFonts w:ascii="Arial" w:cs="Arial" w:eastAsia="Arial" w:hAnsi="Arial"/>
          <w:sz w:val="22"/>
          <w:szCs w:val="22"/>
        </w:rPr>
        <w:t xml:space="preserve">ENG 112 — Advanced Writing  →  CLEP: College Composition Modular (or enrollment)</w:t>
      </w:r>
    </w:p>
    <w:p>
      <w:pPr>
        <w:pStyle w:val="ListParagraph"/>
        <w:numPr>
          <w:ilvl w:val="0"/>
          <w:numId w:val="2"/>
        </w:numPr>
        <w:spacing w:after="60"/>
      </w:pPr>
      <w:r>
        <w:rPr>
          <w:rFonts w:ascii="Arial" w:cs="Arial" w:eastAsia="Arial" w:hAnsi="Arial"/>
          <w:sz w:val="22"/>
          <w:szCs w:val="22"/>
        </w:rPr>
        <w:t xml:space="preserve">BUS 104 — Quantitative Reasoning  →  CLEP: College Mathematics or College Algebra</w:t>
      </w:r>
    </w:p>
    <w:p>
      <w:pPr>
        <w:pStyle w:val="ListParagraph"/>
        <w:numPr>
          <w:ilvl w:val="0"/>
          <w:numId w:val="2"/>
        </w:numPr>
        <w:spacing w:after="60"/>
      </w:pPr>
      <w:r>
        <w:rPr>
          <w:rFonts w:ascii="Arial" w:cs="Arial" w:eastAsia="Arial" w:hAnsi="Arial"/>
          <w:sz w:val="22"/>
          <w:szCs w:val="22"/>
        </w:rPr>
        <w:t xml:space="preserve">SPC 101 — Oral Communications  →  Enrollment recommended</w:t>
      </w:r>
    </w:p>
    <w:p>
      <w:pPr>
        <w:pStyle w:val="ListParagraph"/>
        <w:numPr>
          <w:ilvl w:val="0"/>
          <w:numId w:val="2"/>
        </w:numPr>
        <w:spacing w:after="60"/>
      </w:pPr>
      <w:r>
        <w:rPr>
          <w:rFonts w:ascii="Arial" w:cs="Arial" w:eastAsia="Arial" w:hAnsi="Arial"/>
          <w:sz w:val="22"/>
          <w:szCs w:val="22"/>
        </w:rPr>
        <w:t xml:space="preserve">PHI 100 — Global Understanding  →  Enrollment recommended</w:t>
      </w:r>
    </w:p>
    <w:p>
      <w:pPr>
        <w:pStyle w:val="ListParagraph"/>
        <w:numPr>
          <w:ilvl w:val="0"/>
          <w:numId w:val="2"/>
        </w:numPr>
        <w:spacing w:after="60"/>
      </w:pPr>
      <w:r>
        <w:rPr>
          <w:rFonts w:ascii="Arial" w:cs="Arial" w:eastAsia="Arial" w:hAnsi="Arial"/>
          <w:sz w:val="22"/>
          <w:szCs w:val="22"/>
        </w:rPr>
        <w:t xml:space="preserve">SOC 101 — Intro Sociology  →  CLEP: Introductory Sociology</w:t>
      </w:r>
    </w:p>
    <w:p>
      <w:pPr>
        <w:pStyle w:val="ListParagraph"/>
        <w:numPr>
          <w:ilvl w:val="0"/>
          <w:numId w:val="2"/>
        </w:numPr>
        <w:spacing w:after="60"/>
      </w:pPr>
      <w:r>
        <w:rPr>
          <w:rFonts w:ascii="Arial" w:cs="Arial" w:eastAsia="Arial" w:hAnsi="Arial"/>
          <w:sz w:val="22"/>
          <w:szCs w:val="22"/>
        </w:rPr>
        <w:t xml:space="preserve">LGL 140 — Contract Law  →  Enrollment recommended (or supplement portfolio later)</w:t>
      </w:r>
    </w:p>
    <w:p>
      <w:pPr>
        <w:pStyle w:val="ListParagraph"/>
        <w:numPr>
          <w:ilvl w:val="0"/>
          <w:numId w:val="2"/>
        </w:numPr>
        <w:spacing w:after="60"/>
      </w:pPr>
      <w:r>
        <w:rPr>
          <w:rFonts w:ascii="Arial" w:cs="Arial" w:eastAsia="Arial" w:hAnsi="Arial"/>
          <w:sz w:val="22"/>
          <w:szCs w:val="22"/>
        </w:rPr>
        <w:t xml:space="preserve">SI Lab Science  →  Enrollment required (BIO 105, CHE 105, ESS 105, or PHY 105)</w:t>
      </w:r>
    </w:p>
    <w:p>
      <w:pPr>
        <w:spacing w:after="120"/>
      </w:pPr>
    </w:p>
    <w:p>
      <w:pPr>
        <w:pStyle w:val="Heading2"/>
        <w:spacing w:after="120" w:before="280"/>
      </w:pPr>
      <w:r>
        <w:rPr>
          <w:rFonts w:ascii="Arial" w:cs="Arial" w:eastAsia="Arial" w:hAnsi="Arial"/>
          <w:b/>
          <w:bCs/>
          <w:color w:val="1A1A2E"/>
          <w:sz w:val="26"/>
          <w:szCs w:val="26"/>
        </w:rPr>
        <w:t xml:space="preserve">Evidence Organization</w:t>
      </w:r>
    </w:p>
    <w:p>
      <w:pPr>
        <w:spacing w:after="120"/>
      </w:pPr>
      <w:r>
        <w:rPr>
          <w:rFonts w:ascii="Arial" w:cs="Arial" w:eastAsia="Arial" w:hAnsi="Arial"/>
          <w:sz w:val="22"/>
          <w:szCs w:val="22"/>
        </w:rPr>
        <w:t xml:space="preserve">All supporting evidence is organized in the following portfolio directory structure:</w:t>
      </w:r>
    </w:p>
    <w:p>
      <w:pPr>
        <w:pStyle w:val="ListParagraph"/>
        <w:numPr>
          <w:ilvl w:val="0"/>
          <w:numId w:val="2"/>
        </w:numPr>
        <w:spacing w:after="60"/>
      </w:pPr>
      <w:r>
        <w:rPr>
          <w:rFonts w:ascii="Arial" w:cs="Arial" w:eastAsia="Arial" w:hAnsi="Arial"/>
          <w:sz w:val="22"/>
          <w:szCs w:val="22"/>
        </w:rPr>
        <w:t xml:space="preserve">01_CUSTODY_CCP_2016-5628/ — Delaware County CCP No. 2016-5628 custody matter</w:t>
      </w:r>
    </w:p>
    <w:p>
      <w:pPr>
        <w:pStyle w:val="ListParagraph"/>
        <w:numPr>
          <w:ilvl w:val="0"/>
          <w:numId w:val="2"/>
        </w:numPr>
        <w:spacing w:after="60"/>
      </w:pPr>
      <w:r>
        <w:rPr>
          <w:rFonts w:ascii="Arial" w:cs="Arial" w:eastAsia="Arial" w:hAnsi="Arial"/>
          <w:sz w:val="22"/>
          <w:szCs w:val="22"/>
        </w:rPr>
        <w:t xml:space="preserve">02_RELOCATION_VIOLATION/ — 23 Pa.C.S. §5337 relocation evidence</w:t>
      </w:r>
    </w:p>
    <w:p>
      <w:pPr>
        <w:pStyle w:val="ListParagraph"/>
        <w:numPr>
          <w:ilvl w:val="0"/>
          <w:numId w:val="2"/>
        </w:numPr>
        <w:spacing w:after="60"/>
      </w:pPr>
      <w:r>
        <w:rPr>
          <w:rFonts w:ascii="Arial" w:cs="Arial" w:eastAsia="Arial" w:hAnsi="Arial"/>
          <w:sz w:val="22"/>
          <w:szCs w:val="22"/>
        </w:rPr>
        <w:t xml:space="preserve">03_CONTEMPT_EVIDENCE/ — withheld parenting time documentation</w:t>
      </w:r>
    </w:p>
    <w:p>
      <w:pPr>
        <w:pStyle w:val="ListParagraph"/>
        <w:numPr>
          <w:ilvl w:val="0"/>
          <w:numId w:val="2"/>
        </w:numPr>
        <w:spacing w:after="60"/>
      </w:pPr>
      <w:r>
        <w:rPr>
          <w:rFonts w:ascii="Arial" w:cs="Arial" w:eastAsia="Arial" w:hAnsi="Arial"/>
          <w:sz w:val="22"/>
          <w:szCs w:val="22"/>
        </w:rPr>
        <w:t xml:space="preserve">04_HATBORO_1983_EDPA/ — 42 U.S.C. §1983 federal civil rights action materials</w:t>
      </w:r>
    </w:p>
    <w:p>
      <w:pPr>
        <w:pStyle w:val="ListParagraph"/>
        <w:numPr>
          <w:ilvl w:val="0"/>
          <w:numId w:val="2"/>
        </w:numPr>
        <w:spacing w:after="60"/>
      </w:pPr>
      <w:r>
        <w:rPr>
          <w:rFonts w:ascii="Arial" w:cs="Arial" w:eastAsia="Arial" w:hAnsi="Arial"/>
          <w:sz w:val="22"/>
          <w:szCs w:val="22"/>
        </w:rPr>
        <w:t xml:space="preserve">05_RTKL_OOR_APPEALS/ — Right-to-Know Law appeals AP-2026-0500 and AP-2026-1243</w:t>
      </w:r>
    </w:p>
    <w:p>
      <w:pPr>
        <w:pStyle w:val="ListParagraph"/>
        <w:numPr>
          <w:ilvl w:val="0"/>
          <w:numId w:val="2"/>
        </w:numPr>
        <w:spacing w:after="60"/>
      </w:pPr>
      <w:r>
        <w:rPr>
          <w:rFonts w:ascii="Arial" w:cs="Arial" w:eastAsia="Arial" w:hAnsi="Arial"/>
          <w:sz w:val="22"/>
          <w:szCs w:val="22"/>
        </w:rPr>
        <w:t xml:space="preserve">06_EDUCATION_FERPA_IDEA/ — FERPA, IDEA, Section 504, CPSL materials</w:t>
      </w:r>
    </w:p>
    <w:p>
      <w:pPr>
        <w:pStyle w:val="ListParagraph"/>
        <w:numPr>
          <w:ilvl w:val="0"/>
          <w:numId w:val="2"/>
        </w:numPr>
        <w:spacing w:after="60"/>
      </w:pPr>
      <w:r>
        <w:rPr>
          <w:rFonts w:ascii="Arial" w:cs="Arial" w:eastAsia="Arial" w:hAnsi="Arial"/>
          <w:sz w:val="22"/>
          <w:szCs w:val="22"/>
        </w:rPr>
        <w:t xml:space="preserve">07_EVIDENCE_EXHIBITS/ — additional exhibits and supporting documentation</w:t>
      </w:r>
    </w:p>
    <w:p>
      <w:pPr>
        <w:pStyle w:val="ListParagraph"/>
        <w:numPr>
          <w:ilvl w:val="0"/>
          <w:numId w:val="2"/>
        </w:numPr>
        <w:spacing w:after="60"/>
      </w:pPr>
      <w:r>
        <w:rPr>
          <w:rFonts w:ascii="Arial" w:cs="Arial" w:eastAsia="Arial" w:hAnsi="Arial"/>
          <w:sz w:val="22"/>
          <w:szCs w:val="22"/>
        </w:rPr>
        <w:t xml:space="preserve">08_POA_AUTHORITY/ — Durable Power of Attorney (July 24, 2025)</w:t>
      </w:r>
    </w:p>
    <w:p>
      <w:pPr>
        <w:pStyle w:val="ListParagraph"/>
        <w:numPr>
          <w:ilvl w:val="0"/>
          <w:numId w:val="2"/>
        </w:numPr>
        <w:spacing w:after="60"/>
      </w:pPr>
      <w:r>
        <w:rPr>
          <w:rFonts w:ascii="Arial" w:cs="Arial" w:eastAsia="Arial" w:hAnsi="Arial"/>
          <w:sz w:val="22"/>
          <w:szCs w:val="22"/>
        </w:rPr>
        <w:t xml:space="preserve">09_LEGAL_DRAFTS_FILED/ — all drafted motions, complaints, petitions</w:t>
      </w:r>
    </w:p>
    <w:p>
      <w:pPr>
        <w:spacing w:after="120"/>
      </w:pPr>
    </w:p>
    <w:p>
      <w:pPr>
        <w:pStyle w:val="Heading2"/>
        <w:spacing w:after="120" w:before="280"/>
      </w:pPr>
      <w:r>
        <w:rPr>
          <w:rFonts w:ascii="Arial" w:cs="Arial" w:eastAsia="Arial" w:hAnsi="Arial"/>
          <w:b/>
          <w:bCs/>
          <w:color w:val="1A1A2E"/>
          <w:sz w:val="26"/>
          <w:szCs w:val="26"/>
        </w:rPr>
        <w:t xml:space="preserve">Petitioner Background</w:t>
      </w:r>
    </w:p>
    <w:p>
      <w:pPr>
        <w:spacing w:after="120"/>
      </w:pPr>
      <w:r>
        <w:rPr>
          <w:rFonts w:ascii="Arial" w:cs="Arial" w:eastAsia="Arial" w:hAnsi="Arial"/>
          <w:sz w:val="22"/>
          <w:szCs w:val="22"/>
        </w:rPr>
        <w:t xml:space="preserve">Alexa Shuda is a pro se litigant and authorized legal agent who has operated continuously in the Pennsylvania state and federal court systems for over five years, pursuing concurrent matters in Delaware County Court of Common Pleas, the Pennsylvania Office of Open Records, Mountain View School District (FERPA/IDEA), and in preparation of a 42 U.S.C. §1983 federal civil rights action. She is the founder and sole developer of LawLexx / Legalitize, a production-grade legal AI SaaS platform for law firms, and founder of Shuda Enterprises, LLC (EIN 39-2133642, PA Entity #0014380433). All competencies documented in this portfolio were developed through sustained, high-stakes application of legal skills in real-world contexts. All evidence is authentic, verifiable, and specific to each course claimed.</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 MAJOR CORE — Legal Studies (LGL)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100  |  Major Core</w:t>
            </w:r>
          </w:p>
          <w:p>
            <w:r>
              <w:rPr>
                <w:rFonts w:ascii="Arial" w:cs="Arial" w:eastAsia="Arial" w:hAnsi="Arial"/>
                <w:b/>
                <w:bCs/>
                <w:color w:val="FFFFFF"/>
                <w:sz w:val="28"/>
                <w:szCs w:val="28"/>
              </w:rPr>
              <w:t xml:space="preserve">Introduction to Legal &amp; Paralegal Studies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An introduction to the American legal system, courts, legal professionals, and the role of the paralegal. Topics include sources of law, legal ethics, the litigation process, and fundamental paralegal competencies.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demonstrates mastery of LGL 100 competencies through five years of sustained pro se legal practice in Pennsylvania state and federal courts — Delaware County CCP No. 2016-5628, PA Office of Open Records AP-2026-0500 and AP-2026-1243, FERPA/IDEA enforcement against Mountain View School District, and preparation of a 42 U.S.C. §1983 federal civil rights action in the Eastern District of Pennsylvania.</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Pro Se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Motions, petitions, and appeals filed before Delaware County CCP and PA Office of Open Records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Two RTKL appeals — AP-2026-0500 and AP-2026-1243 — with full legal argument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Custody Docket Materials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Delaware County CCP No. 2016-5628 — custody, relocation, contempt proceedings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civil rights complaint demonstrating knowledge of federal pleading standards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Durable Power of Attorney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Authorized legal agent for civil/family matters — July 24, 2025</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Through five years of active pro se litigation, Alexa Shuda has developed comprehensive working knowledge of the American legal system at both state and federal levels. She has navigated the Delaware County Court of Common Pleas, the Pennsylvania Office of Open Records, and the framework of the Eastern District of Pennsylvania — demonstrating familiarity with court hierarchy, jurisdictional rules, and procedural requirements that form the core content of LGL 100.</w:t>
      </w:r>
    </w:p>
    <w:p>
      <w:pPr>
        <w:spacing w:after="120"/>
      </w:pPr>
      <w:r>
        <w:rPr>
          <w:rFonts w:ascii="Arial" w:cs="Arial" w:eastAsia="Arial" w:hAnsi="Arial"/>
          <w:sz w:val="22"/>
          <w:szCs w:val="22"/>
        </w:rPr>
        <w:t xml:space="preserve">Her ethical awareness is demonstrated through strict adherence to the unauthorized practice of law boundaries inherent in pro se representation. Operating under a Durable Power of Attorney limited to civil and family matters only, she has consistently identified the permissible scope of authorized representation and never exceeded it.</w:t>
      </w:r>
    </w:p>
    <w:p>
      <w:pPr>
        <w:spacing w:after="120"/>
      </w:pPr>
      <w:r>
        <w:rPr>
          <w:rFonts w:ascii="Arial" w:cs="Arial" w:eastAsia="Arial" w:hAnsi="Arial"/>
          <w:sz w:val="22"/>
          <w:szCs w:val="22"/>
        </w:rPr>
        <w:t xml:space="preserve">She has applied litigation knowledge from complaint through appeal: filing initial petitions, responding to motions, submitting exhibits, drafting appeal briefs, and understanding the procedural posture of multiple concurrent matters. Her RTKL/OOR work demonstrates knowledge of administrative adjudication; her §1983 research demonstrates understanding of federal subject matter jurisdiction and constitutional litigation.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110  |  Major Core</w:t>
            </w:r>
          </w:p>
          <w:p>
            <w:r>
              <w:rPr>
                <w:rFonts w:ascii="Arial" w:cs="Arial" w:eastAsia="Arial" w:hAnsi="Arial"/>
                <w:b/>
                <w:bCs/>
                <w:color w:val="FFFFFF"/>
                <w:sz w:val="28"/>
                <w:szCs w:val="28"/>
              </w:rPr>
              <w:t xml:space="preserve">Legal Research &amp; Writing 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legal research methods, primary and secondary sources, statutory and case law research, Bluebook citation, and the fundamentals of legal writing. Students learn to find and analyze legal authority and communicate findings in written form.</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performed extensive independent legal research across Pennsylvania statutes, federal law, and case law in connection with active litigation matters. Her research informed filed documents, OOR appeal briefs, RTKL requests, and a federal §1983 complaint. She has located, read, and applied primary sources of law including statutes, regulations, and judicial decisions, and has cited authority in written submissions.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23 Pa.C.S. §5337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Located and analyzed PA relocation statute; applied notice and consent requirements to active custody matter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42 U.S.C. §1983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Researched elements of civil rights claim; Monell liability; ATF Form 4473/35 Pa. §780-113 threshold analysis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Legal briefs citing Right-to-Know Law (65 P.S. §§67.101 et seq.), OOR regulations, and case law</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Research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Identified applicable federal education statutes; drafted enforcement correspondence citing specific CFR provisions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Case Law Analysis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Researched and applied Monell v. Dep't of Social Services and PA Superior Court custody decisions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Research &amp; Writing I requires students to locate primary legal authority and present findings in organized written form. Alexa Shuda has performed this function repeatedly at a sophisticated level across multiple concurrent matters.</w:t>
      </w:r>
    </w:p>
    <w:p>
      <w:pPr>
        <w:spacing w:after="120"/>
      </w:pPr>
      <w:r>
        <w:rPr>
          <w:rFonts w:ascii="Arial" w:cs="Arial" w:eastAsia="Arial" w:hAnsi="Arial"/>
          <w:sz w:val="22"/>
          <w:szCs w:val="22"/>
        </w:rPr>
        <w:t xml:space="preserve">She has conducted statutory research using both the Pennsylvania Consolidated Statutes and the United States Code: 23 Pa.C.S. §5337 (relocation), 23 Pa.C.S. §5328 (best interests), 65 P.S. §67.101 et seq. (RTKL), 42 U.S.C. §1983, 20 U.S.C. §1232g (FERPA), 20 U.S.C. §1400 et seq. (IDEA), and 34 C.F.R. Parts 99 and 300, among others. This breadth demonstrates command of both state and federal primary sources.</w:t>
      </w:r>
    </w:p>
    <w:p>
      <w:pPr>
        <w:spacing w:after="120"/>
      </w:pPr>
      <w:r>
        <w:rPr>
          <w:rFonts w:ascii="Arial" w:cs="Arial" w:eastAsia="Arial" w:hAnsi="Arial"/>
          <w:sz w:val="22"/>
          <w:szCs w:val="22"/>
        </w:rPr>
        <w:t xml:space="preserve">Her OOR appeal briefs reflect LGL 110 writing skills: issue identification, citation of authority, organized argument, and factual precision. Her research methodology — statute → implementing regulation → judicial interpretation — mirrors the structured legal research process LGL 110 teaches.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120  |  Major Core</w:t>
            </w:r>
          </w:p>
          <w:p>
            <w:r>
              <w:rPr>
                <w:rFonts w:ascii="Arial" w:cs="Arial" w:eastAsia="Arial" w:hAnsi="Arial"/>
                <w:b/>
                <w:bCs/>
                <w:color w:val="FFFFFF"/>
                <w:sz w:val="28"/>
                <w:szCs w:val="28"/>
              </w:rPr>
              <w:t xml:space="preserve">Legal Research &amp; Writing II</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Advanced legal research and writing, including objective and persuasive legal memoranda, case briefs, and legal correspondence. Emphasis on legal analysis, applying law to facts (IRAC), and professional legal writing conventions.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produced advanced legal writing across multiple formats — persuasive briefs, legal memoranda, demand letters, formal RTKL requests, and a federal complaint draft. Her work consistently applies law to fact using structured legal analysis and conforms to professional legal writing conventions.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Brief AP-2026-0500</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Full persuasive brief to PA Office of Open Records — statement of case, legal argument with citations, relief requested</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Appeal Brief AP-2026-1243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Second OOR appeal — distinct legal theories, additional exhibits, demonstrates advanced brief-writing competency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complaint — IRAC analysis of each constitutional claim, Monell policy/custom allegations, damages prayer</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Requests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Formal requests citing specific statutory provisions; escalating agency correspondence; administrative record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PLA Portfolio</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This portfolio — advanced professional legal writing organized for a specific evaluative audience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Research &amp; Writing II builds foundational skills into persuasive legal writing for a judicial or administrative audience. Alexa Shuda has produced substantial work product in this genre in real, high-stakes proceedings.</w:t>
      </w:r>
    </w:p>
    <w:p>
      <w:pPr>
        <w:spacing w:after="120"/>
      </w:pPr>
      <w:r>
        <w:rPr>
          <w:rFonts w:ascii="Arial" w:cs="Arial" w:eastAsia="Arial" w:hAnsi="Arial"/>
          <w:sz w:val="22"/>
          <w:szCs w:val="22"/>
        </w:rPr>
        <w:t xml:space="preserve">Her OOR appeal briefs demonstrate the complete persuasive brief structure: parties and procedural posture, statement of facts, legal argument organized by issue with supporting authority, and specific relief requested. These briefs were filed with an actual administrative adjudicative body without counsel. The analysis applies the IRAC framework that is the organizing principle of LGL 120.</w:t>
      </w:r>
    </w:p>
    <w:p>
      <w:pPr>
        <w:spacing w:after="120"/>
      </w:pPr>
      <w:r>
        <w:rPr>
          <w:rFonts w:ascii="Arial" w:cs="Arial" w:eastAsia="Arial" w:hAnsi="Arial"/>
          <w:sz w:val="22"/>
          <w:szCs w:val="22"/>
        </w:rPr>
        <w:t xml:space="preserve">Her §1983 complaint draft demonstrates the most demanding legal writing: connecting specific factual allegations to identified legal elements, stating the constitutional provisions at issue, and articulating Monell municipal liability theory — LGL 120's target competency at the highest level of execution.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130  |  Major Core &amp; General Education (TC)</w:t>
            </w:r>
          </w:p>
          <w:p>
            <w:r>
              <w:rPr>
                <w:rFonts w:ascii="Arial" w:cs="Arial" w:eastAsia="Arial" w:hAnsi="Arial"/>
                <w:b/>
                <w:bCs/>
                <w:color w:val="FFFFFF"/>
                <w:sz w:val="28"/>
                <w:szCs w:val="28"/>
              </w:rPr>
              <w:t xml:space="preserve">Technology in the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Covers technology applications in legal practice: legal software, document management, electronic research, database systems, court filing systems, and emerging technology. Satisfies both the major Technology in the Law requirement and the General Education Information Technology (TC)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is the sole developer of LawLexx / Legalitize — a production-grade, full-stack legal AI SaaS platform built for law firms. Her technical competency in legal technology exceeds the scope of an introductory course and extends into professional-grade system architecture, legal database design, AI-assisted document drafting, and court system integration.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LawLexx CLAUDE.md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Full developer specification — Next.js 14, FastAPI, PostgreSQL, Anthropic Claude API, JWT auth, 251+ endpoints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COMPLETE_BUILD_STATUS.md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 modules operational: matter management, document drafting, billing, calendar, RTKL/FERPA, RAG, streaming AI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COMPLETE_DEPLOYMENT_GUIDE.md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Production deployment: Docker, Cloudflare Workers, Vercel, environment configuration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ADVANCED_LEGAL_ANALYTICS.md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AI analytics module — integration of ML/AI into legal practice management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Application Screenshots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Live UI screenshots — login, dashboard, matter management demonstrating deployed system</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CIS_LGL130_TECH_PLATFORM/</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130 addresses technology in legal practice. Alexa Shuda's evidence is professional-level development of legal technology systems from the ground up — not merely using legal technology tools.</w:t>
      </w:r>
    </w:p>
    <w:p>
      <w:pPr>
        <w:spacing w:after="120"/>
      </w:pPr>
      <w:r>
        <w:rPr>
          <w:rFonts w:ascii="Arial" w:cs="Arial" w:eastAsia="Arial" w:hAnsi="Arial"/>
          <w:sz w:val="22"/>
          <w:szCs w:val="22"/>
        </w:rPr>
        <w:t xml:space="preserve">LawLexx is a functioning legal AI platform with over 251 documented API endpoints, a full-stack architecture (Next.js 14 frontend, FastAPI backend, PostgreSQL database, Anthropic Claude API integration), and features mapping directly to every LGL 130 topic: document management (automated pleading generation via ReportLab PDF service), electronic legal research (CourtListener API for case law, GovInfo API for federal statutes), matter management (SQLAlchemy ORM models), and billing (Stripe integration).</w:t>
      </w:r>
    </w:p>
    <w:p>
      <w:pPr>
        <w:spacing w:after="120"/>
      </w:pPr>
      <w:r>
        <w:rPr>
          <w:rFonts w:ascii="Arial" w:cs="Arial" w:eastAsia="Arial" w:hAnsi="Arial"/>
          <w:sz w:val="22"/>
          <w:szCs w:val="22"/>
        </w:rPr>
        <w:t xml:space="preserve">The AI-assisted document drafting module demonstrates mastery of emerging legal technology at the frontier of the profession — retrieval-augmented generation (RAG) with Anthropic Claude API for legal document drafting. Her streaming AI chat endpoint, RTKL/FERPA compliance module, and legal analytics dashboard represent applied expertise that LGL 130 is designed to introduce.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210  |  Major Core</w:t>
            </w:r>
          </w:p>
          <w:p>
            <w:r>
              <w:rPr>
                <w:rFonts w:ascii="Arial" w:cs="Arial" w:eastAsia="Arial" w:hAnsi="Arial"/>
                <w:b/>
                <w:bCs/>
                <w:color w:val="FFFFFF"/>
                <w:sz w:val="28"/>
                <w:szCs w:val="28"/>
              </w:rPr>
              <w:t xml:space="preserve">Civil Litigation &amp; Tort Principles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Overview of civil litigation procedure in Pennsylvania and federal courts, including pleading, service of process, discovery, motions practice, and trial. Introduction to tort law: negligence, intentional torts, strict liability, and damages.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directly participated in civil litigation proceedings across multiple courts and jurisdictions — demonstrating thorough knowledge of civil procedure and tort principles through active pro se practice in Delaware County Court of Common Pleas and preparation of a federal §1983 civil rights action.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Delaware County CCP No. 2016-5628</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Active civil litigation — pleadings, motions, orders, contempt proceedings; full civil litigation lifecycle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Complaint Draft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Federal civil rights complaint — 4th and 14th Amendment torts; constitutional tort doctrine; Monell theory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OOR Appeal Filings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Administrative civil proceeding — pleading, exhibits, legal argument before adjudicative body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Service Documentation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Knowledge of service of process requirements in Pennsylvania civil proceedings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Motion Practice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Filed and analyzed motions in CCP matter; knowledge of pre-trial motion procedure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09_LEGAL_DRAFTS_FILED/</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Delaware County CCP No. 2016-5628 has been an active civil litigation matter for over nine years. Through direct participation as a pro se litigant and authorized agent, Alexa Shuda has acquired working knowledge of every stage of the civil litigation process: pleading requirements under Pennsylvania Rules of Civil Procedure, service of process standards, motions practice, contempt enforcement procedure, and the structure of appellate review.</w:t>
      </w:r>
    </w:p>
    <w:p>
      <w:pPr>
        <w:spacing w:after="120"/>
      </w:pPr>
      <w:r>
        <w:rPr>
          <w:rFonts w:ascii="Arial" w:cs="Arial" w:eastAsia="Arial" w:hAnsi="Arial"/>
          <w:sz w:val="22"/>
          <w:szCs w:val="22"/>
        </w:rPr>
        <w:t xml:space="preserve">Her §1983 complaint work required deep engagement with federal civil procedure and constitutional tort doctrine. Constitutional torts under §1983 — Fourth Amendment unreasonable seizure, Fourteenth Amendment due process — are intentional torts committed by state actors under color of law. Her analysis demonstrates mastery of the intentional tort framework (duty, breach, causation, damages) applied in the constitutional context.</w:t>
      </w:r>
    </w:p>
    <w:p>
      <w:pPr>
        <w:spacing w:after="120"/>
      </w:pPr>
      <w:r>
        <w:rPr>
          <w:rFonts w:ascii="Arial" w:cs="Arial" w:eastAsia="Arial" w:hAnsi="Arial"/>
          <w:sz w:val="22"/>
          <w:szCs w:val="22"/>
        </w:rPr>
        <w:t xml:space="preserve">Her Monell research demonstrates understanding of municipal liability as a form of respondeat superior doctrine — a tort principle within LGL 210's scope. Her RTKL/OOR proceedings further demonstrate civil procedure in the administrative context at every stage.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211  |  Major Core</w:t>
            </w:r>
          </w:p>
          <w:p>
            <w:r>
              <w:rPr>
                <w:rFonts w:ascii="Arial" w:cs="Arial" w:eastAsia="Arial" w:hAnsi="Arial"/>
                <w:b/>
                <w:bCs/>
                <w:color w:val="FFFFFF"/>
                <w:sz w:val="28"/>
                <w:szCs w:val="28"/>
              </w:rPr>
              <w:t xml:space="preserve">Civil Litigation &amp; Tort Applications</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Application of civil litigation principles through simulation and case analysis. Students prepare pleadings, discovery requests, motions, and briefs; analyze tort cases; and develop litigation support skills. Emphasis on practical paralegal function in the civil litigation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performed the full range of paralegal litigation support functions in active civil proceedings — not in simulation, but in real cases with actual legal consequences. She has organized evidence, drafted and filed pleadings, assembled exhibit binders, tracked court deadlines, and applied fact analysis to legal theories across multiple concurrent matters.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Exhibit A-R Assembly (OOR)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Assembled, indexed, and cited 18 exhibits for OOR appeal briefs — demonstrates paralegal evidence organization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Withheld Visitation Log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documentation of 23+ withheld parenting time weekends — litigation support fact chronology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MASTER_EVIDENCE_INDEX.md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Master indexed catalog of all evidence across 1.2GB+ of materials — litigation file management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Evidence Organization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IA records, call transcript, General Order 2.3.1, Dilks affidavit — assembled for federal complaint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Custody Timeline Documentation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Chronological analysis of relocation violation evidence — key dates, supporting records, legal significance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LGL 211 is the applied companion to LGL 210 — developing paralegal litigation support skills: document management, evidence organization, pleading preparation, discovery support, and case chronology development. Alexa Shuda has performed each of these functions in live litigation.</w:t>
      </w:r>
    </w:p>
    <w:p>
      <w:pPr>
        <w:spacing w:after="120"/>
      </w:pPr>
      <w:r>
        <w:rPr>
          <w:rFonts w:ascii="Arial" w:cs="Arial" w:eastAsia="Arial" w:hAnsi="Arial"/>
          <w:sz w:val="22"/>
          <w:szCs w:val="22"/>
        </w:rPr>
        <w:t xml:space="preserve">Her assembly of Exhibits A through R for the OOR appeal is a textbook example of paralegal evidence organization: each exhibit was identified, labeled, cited in the brief with the appropriate exhibit designator, and compiled for presentation to an administrative adjudicator.</w:t>
      </w:r>
    </w:p>
    <w:p>
      <w:pPr>
        <w:spacing w:after="120"/>
      </w:pPr>
      <w:r>
        <w:rPr>
          <w:rFonts w:ascii="Arial" w:cs="Arial" w:eastAsia="Arial" w:hAnsi="Arial"/>
          <w:sz w:val="22"/>
          <w:szCs w:val="22"/>
        </w:rPr>
        <w:t xml:space="preserve">The MASTER_EVIDENCE_INDEX.md — a cross-referenced index of over 1.2 gigabytes of evidence across twelve subject-matter folders — demonstrates the document management skills LGL 211 trains. Her §1983 evidence mapping — connecting each piece of documentary evidence to specific legal elements of the civil rights claim — is applied litigation support at a professional level.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199  |  Major Core</w:t>
            </w:r>
          </w:p>
          <w:p>
            <w:r>
              <w:rPr>
                <w:rFonts w:ascii="Arial" w:cs="Arial" w:eastAsia="Arial" w:hAnsi="Arial"/>
                <w:b/>
                <w:bCs/>
                <w:color w:val="FFFFFF"/>
                <w:sz w:val="28"/>
                <w:szCs w:val="28"/>
              </w:rPr>
              <w:t xml:space="preserve">Legal Ethics / Legal Experience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Ethical rules governing legal professionals: unauthorized practice of law (UPL), confidentiality, conflict of interest, candor to the tribunal, and professional responsibility. Application of the Pennsylvania Rules of Professional Conduct to realistic scenarios.</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navigated complex ethical terrain in pro se and authorized-agent legal practice over five years, demonstrating applied knowledge of the Pennsylvania Rules of Professional Conduct — particularly UPL limitations, confidentiality obligations, candor to the tribunal, and the ethical dimensions of civil rights advocacy.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Durable POA (Civil/Family Only)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POA expressly limited to civil and family matters — demonstrates active UPL boundary identification and enforcement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08_POA_AUTHORITY/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OOR Filings — Pro Se Capacity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All filings clearly identify pro se/agent status; demonstrates candor to tribunal and transparency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FERPA Advocacy Record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FERPA enforcement correspondence demonstrates ethical handling of minors' confidential educational records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Evidence Handling Protocols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Organized handling of sensitive legal records — demonstrates confidentiality awareness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07_EVIDENCE_EXHIBITS/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Research — Ethical Dimension</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Good-faith advocacy obligations and public accountability ethics in civil rights practice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Legal ethics is a constraint Alexa Shuda has navigated every day in active legal practice. The most concrete demonstration is the scope of the Durable Power of Attorney she holds: expressly limited to civil and family matters — a direct reflection of knowledge of UPL rules, jurisdictional limits of lay representative authority, and professional responsibility principles governing non-attorney legal assistance.</w:t>
      </w:r>
    </w:p>
    <w:p>
      <w:pPr>
        <w:spacing w:after="120"/>
      </w:pPr>
      <w:r>
        <w:rPr>
          <w:rFonts w:ascii="Arial" w:cs="Arial" w:eastAsia="Arial" w:hAnsi="Arial"/>
          <w:sz w:val="22"/>
          <w:szCs w:val="22"/>
        </w:rPr>
        <w:t xml:space="preserve">Candor to the tribunal is demonstrated throughout her filings: her OOR appeal briefs identify her capacity clearly, present facts accurately, and acknowledge procedural posture without mischaracterization. Her handling of confidential materials — including sensitive records relating to her minor children — demonstrates awareness of confidentiality obligations analogous to those governing paralegals under Rules 1.6 and 1.9.</w:t>
      </w:r>
    </w:p>
    <w:p>
      <w:pPr>
        <w:spacing w:after="120"/>
      </w:pPr>
      <w:r>
        <w:rPr>
          <w:rFonts w:ascii="Arial" w:cs="Arial" w:eastAsia="Arial" w:hAnsi="Arial"/>
          <w:sz w:val="22"/>
          <w:szCs w:val="22"/>
        </w:rPr>
        <w:t xml:space="preserve">Her civil rights work implicates the ethics of advocacy against government actors: good-faith obligation (Rule 3.1), factual investigation before alleging (Rule 3.3), and pursuing interests without overreaching. Her approach — grounded in specific documentary evidence and specific factual allegations — reflects the ethical standard of evidence-based advocacy the Rules require.</w:t>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SECTION II: LAW AND CRIMINAL JUSTICE CONCENTRATION</w:t>
      </w:r>
    </w:p>
    <w:p>
      <w:pPr>
        <w:spacing w:after="120"/>
      </w:pPr>
      <w:r>
        <w:rPr>
          <w:rFonts w:ascii="Arial" w:cs="Arial" w:eastAsia="Arial" w:hAnsi="Arial"/>
          <w:sz w:val="22"/>
          <w:szCs w:val="22"/>
        </w:rPr>
        <w:t xml:space="preserve">The Law and Criminal Justice concentration requires five courses: ADJ 241 (also satisfying the DJ General Education attribute), LGL 240, LGL 246, ADJ 101, and ADJ 225.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240  |  Concentration: Law &amp; Criminal Justice</w:t>
            </w:r>
          </w:p>
          <w:p>
            <w:r>
              <w:rPr>
                <w:rFonts w:ascii="Arial" w:cs="Arial" w:eastAsia="Arial" w:hAnsi="Arial"/>
                <w:b/>
                <w:bCs/>
                <w:color w:val="FFFFFF"/>
                <w:sz w:val="28"/>
                <w:szCs w:val="28"/>
              </w:rPr>
              <w:t xml:space="preserve">Family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Pennsylvania family law including marriage, divorce, child custody, support, equitable distribution, and domestic relations procedure. Emphasis on the paralegal's role: client intake, document preparation, court filings, and evidence organization.</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been the primary pro se litigant and authorized agent in Delaware County CCP No. 2016-5628 — an active Pennsylvania family law matter involving custody, relocation violation, contempt, and parental rights — for over nine years. She has researched and applied the Pennsylvania Child Custody Act (23 Pa.C.S. §§5321-5340) and the Relocation Statute (23 Pa.C.S. §5337) in real proceedings with direct impact on her children.</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Delaware County CCP No. 2016-5628</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Active custody matter — pleadings, motions, orders, GAL report; full family law litigation lifecycle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Relocation Violation Documentation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23 Pa.C.S. §5337 analysis — unilateral 180-mile relocation without court approval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02_RELOCATION_VIOLATION/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Contempt Evidence File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23+ withheld parenting time weekends; contempt motion analysis and supporting documentation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FERPA/IDEA Enforcement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Parental FERPA access rights, IEP rights, Section 504, CPSL obligations — family law-adjacent education rights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23 Pa.C.S. §5328 Analysis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and application of 16-factor best interests standard to custody modification petition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Delaware County CCP No. 2016-5628 involves the full range of issues LGL 240 addresses: an initial custody order, subsequent modifications, a contested relocation (children removed approximately 180 miles to Nicholson, Pennsylvania without court approval), contempt of a stipulated parenting order, and ongoing enforcement proceedings.</w:t>
      </w:r>
    </w:p>
    <w:p>
      <w:pPr>
        <w:spacing w:after="120"/>
      </w:pPr>
      <w:r>
        <w:rPr>
          <w:rFonts w:ascii="Arial" w:cs="Arial" w:eastAsia="Arial" w:hAnsi="Arial"/>
          <w:sz w:val="22"/>
          <w:szCs w:val="22"/>
        </w:rPr>
        <w:t xml:space="preserve">Her mastery of 23 Pa.C.S. §5337 is comprehensive: the notice requirements (§5337(c)), consent procedure (§5337(d)), burden of proof framework (§5337(h)), and the factors the court applies when relocation is contested (§5337(i)). She has documented the violation of each provision and organized evidence to support a finding of unauthorized relocation.</w:t>
      </w:r>
    </w:p>
    <w:p>
      <w:pPr>
        <w:spacing w:after="120"/>
      </w:pPr>
      <w:r>
        <w:rPr>
          <w:rFonts w:ascii="Arial" w:cs="Arial" w:eastAsia="Arial" w:hAnsi="Arial"/>
          <w:sz w:val="22"/>
          <w:szCs w:val="22"/>
        </w:rPr>
        <w:t xml:space="preserve">Her analysis of 23 Pa.C.S. §5328 — the 16-factor best interests standard — demonstrates the core analytical tool of Pennsylvania custody law. She has evaluated how each statutory factor applies to her children's circumstances, organized supporting evidence, and prepared a factual record for court use. This is exactly the work a paralegal in a family law practice performs for custody hearings.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LGL 246  |  Concentration: Law &amp; Criminal Justice</w:t>
            </w:r>
          </w:p>
          <w:p>
            <w:r>
              <w:rPr>
                <w:rFonts w:ascii="Arial" w:cs="Arial" w:eastAsia="Arial" w:hAnsi="Arial"/>
                <w:b/>
                <w:bCs/>
                <w:color w:val="FFFFFF"/>
                <w:sz w:val="28"/>
                <w:szCs w:val="28"/>
              </w:rPr>
              <w:t xml:space="preserve">Constitutional Law</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Introduction to the United States Constitution: separation of powers, federalism, individual rights under the Bill of Rights, Fourteenth Amendment due process and equal protection, and constitutional litigation.</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conducted advanced constitutional law research and applied constitutional doctrine in preparation of a 42 U.S.C. §1983 federal civil rights action, RTKL enforcement proceedings implicating government accountability principles, and Fourteenth Amendment due process analysis in the context of custody and parental rights.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Complaint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4th Amendment unreasonable seizure; 14th Amendment due process; Monell municipal liability — full constitutional tort analysis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ATF Form 4473 Threshold Analysis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Constitutional analysis of 35 Pa. §780-113 penalty (max 1 year ≠ 'exceeding one year') — firearms/due process context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Monell Policy/Custom Evidence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Chief Ruegg chain-of-command email; HPD General Order 2.3.1 — direct evidence of municipal policy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14th Amendment Parental Rights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Substantive due process — parental rights as fundamental liberty interest; Troxel v. Granville application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RTKL Government Accountability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Right-to-Know Law as statutory implementation of government accountability principles in First Amendment tradition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Section 1983 is a constitutional tort — the cause of action exists to remedy violations of federally-secured constitutional rights by state actors. Her research required identifying the specific constitutional provisions at issue (Fourth Amendment; Fourteenth Amendment due process), articulating the elements of each claim, and connecting specific documented facts to each element — applied constitutional analysis exceeding LGL 246's introductory standard.</w:t>
      </w:r>
    </w:p>
    <w:p>
      <w:pPr>
        <w:spacing w:after="120"/>
      </w:pPr>
      <w:r>
        <w:rPr>
          <w:rFonts w:ascii="Arial" w:cs="Arial" w:eastAsia="Arial" w:hAnsi="Arial"/>
          <w:sz w:val="22"/>
          <w:szCs w:val="22"/>
        </w:rPr>
        <w:t xml:space="preserve">Her ATF Form 4473 threshold analysis demonstrates rigorous constitutional statutory interpretation: the federal form requires 'yes' if convicted of a crime 'punishable by imprisonment for a term exceeding one year.' 35 Pa. §780-113 carries a maximum of one year — not 'exceeding one year.' This required understanding of the Supremacy Clause framework and constitutional due process implications of an improperly imposed firearms disability.</w:t>
      </w:r>
    </w:p>
    <w:p>
      <w:pPr>
        <w:spacing w:after="120"/>
      </w:pPr>
      <w:r>
        <w:rPr>
          <w:rFonts w:ascii="Arial" w:cs="Arial" w:eastAsia="Arial" w:hAnsi="Arial"/>
          <w:sz w:val="22"/>
          <w:szCs w:val="22"/>
        </w:rPr>
        <w:t xml:space="preserve">Her Monell research demonstrates the federalism principles underlying §1983: municipalities are liable only for constitutional violations resulting from official policy, custom, or practice. Her identification of Chief Ruegg's chain-of-command email and HPD General Order 2.3.1 as evidence of municipal policy reflects application of constitutional doctrine to specific facts — LGL 246's target competency.</w:t>
      </w:r>
    </w:p>
    <w:p>
      <w:pPr>
        <w:spacing w:after="120"/>
      </w:pPr>
      <w:r>
        <w:rPr>
          <w:rFonts w:ascii="Arial" w:cs="Arial" w:eastAsia="Arial" w:hAnsi="Arial"/>
          <w:sz w:val="22"/>
          <w:szCs w:val="22"/>
        </w:rPr>
        <w:t xml:space="preserve">Her analysis of parental rights as a fundamental liberty interest under the Fourteenth Amendment — grounded in Troxel v. Granville, 530 U.S. 57 (2000) — demonstrates understanding of substantive due process protecting fundamental rights from government interference, a core LGL 246 principle.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101  |  Concentration: Law &amp; Criminal Justice</w:t>
            </w:r>
          </w:p>
          <w:p>
            <w:r>
              <w:rPr>
                <w:rFonts w:ascii="Arial" w:cs="Arial" w:eastAsia="Arial" w:hAnsi="Arial"/>
                <w:b/>
                <w:bCs/>
                <w:color w:val="FFFFFF"/>
                <w:sz w:val="28"/>
                <w:szCs w:val="28"/>
              </w:rPr>
              <w:t xml:space="preserve">Introduction to Criminal Justice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Survey of the American criminal justice system: law enforcement, courts, and corrections. History, structure, and function of the system; criminal law foundations; civil rights and due process in the criminal context.</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criminal justice competency derives from direct engagement with the criminal justice system as a researcher and civil rights advocate — including preparation of a §1983 civil rights action against a municipal police department, RTKL requests for law enforcement records, and research into police policy, procedure, and accountability.</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Hatboro PD Internal Affairs Records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RTKL requests and OOR appeals for IA investigation records — knowledge of law enforcement accountability systems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HPD General Order 2.3.1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Police department general order governing Internal Affairs procedure — knowledge of law enforcement policy structure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Det. Woods Call Transcript</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July 22, 2025 call transcript — police-civilian interaction protocols and constitutional rights in practice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§1983 System Analysis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Law enforcement's role in the constitutional system; Fourth Amendment limits; Monell accountability framework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ADJ 101 surveys the three components of the American criminal justice system: law enforcement, courts, and corrections. Alexa Shuda's engagement has been concentrated at the law enforcement accountability level — examining how police departments operate, what rules govern their conduct, and what legal remedies exist when those rules are violated.</w:t>
      </w:r>
    </w:p>
    <w:p>
      <w:pPr>
        <w:spacing w:after="120"/>
      </w:pPr>
      <w:r>
        <w:rPr>
          <w:rFonts w:ascii="Arial" w:cs="Arial" w:eastAsia="Arial" w:hAnsi="Arial"/>
          <w:sz w:val="22"/>
          <w:szCs w:val="22"/>
        </w:rPr>
        <w:t xml:space="preserve">Her RTKL requests for Hatboro Police Department Internal Affairs records, and subsequent OOR appeals when those records were wrongfully withheld, demonstrate knowledge of the law enforcement accountability framework ADJ 101 addresses: how Internal Affairs investigations function (HPD General Order 2.3.1), what records are created, what disclosure obligations exist, and how to pursue enforcement when those obligations are not met.</w:t>
      </w:r>
    </w:p>
    <w:p>
      <w:pPr>
        <w:spacing w:after="120"/>
      </w:pPr>
      <w:r>
        <w:rPr>
          <w:rFonts w:ascii="Arial" w:cs="Arial" w:eastAsia="Arial" w:hAnsi="Arial"/>
          <w:sz w:val="22"/>
          <w:szCs w:val="22"/>
        </w:rPr>
        <w:t xml:space="preserve">Her §1983 research required understanding of the constitutional framework governing law enforcement: the Fourth Amendment's prohibition on unreasonable seizures, qualified immunity standards, Monell municipal liability, and the federal court as the forum for vindicating constitutional rights against state actors.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225  |  Concentration: Law &amp; Criminal Justice</w:t>
            </w:r>
          </w:p>
          <w:p>
            <w:r>
              <w:rPr>
                <w:rFonts w:ascii="Arial" w:cs="Arial" w:eastAsia="Arial" w:hAnsi="Arial"/>
                <w:b/>
                <w:bCs/>
                <w:color w:val="FFFFFF"/>
                <w:sz w:val="28"/>
                <w:szCs w:val="28"/>
              </w:rPr>
              <w:t xml:space="preserve">Criminal Evidence</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Rules of evidence applicable in criminal proceedings: relevance, hearsay, authentication, chain of custody, constitutional exclusionary rule, and evidentiary standards. Students learn to identify admissible evidence and understand evidence rules in practice.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 has applied evidence principles in assembling, organizing, and presenting evidence for OOR administrative proceedings, custody litigation, and federal civil rights case preparation. Her work demonstrates knowledge of relevance analysis, authentication requirements, chain of custody principles, hearsay identification, and the constitutional exclusionary rule.</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Exhibits A-R (OOR)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18 authenticated exhibits submitted to OOR — evidence identification, authentication, and presentation</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Dilks Admissions / Affidavit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Sworn statement submitted as evidence — affidavit as evidentiary instrument; admission against interest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4th Amendment Exclusionary Research</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unlawful seizure evidence and exclusionary rule application in §1983 context</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Custody Evidence Organization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Mail tracking, withheld visitation log, text messages — evidence authentication and chain of custody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03_CONTEMPT_EVIDENCE/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MASTER_EVIDENCE_INDEX.md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Cross-referenced evidence index — relevance analysis linking each item to the legal theory it supports</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PLA_PORTFOLIO/</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Her assembly of Exhibits A through R for the OOR appeals required relevance analysis (does this document tend to prove a material fact in the RTKL dispute?) and authentication (can this document be presented as what it purports to be?). The Dilks admissions affidavit demonstrates knowledge of sworn declarations as testimonial evidence, affidavit validity requirements, and the evidentiary weight of an admission against interest.</w:t>
      </w:r>
    </w:p>
    <w:p>
      <w:pPr>
        <w:spacing w:after="120"/>
      </w:pPr>
      <w:r>
        <w:rPr>
          <w:rFonts w:ascii="Arial" w:cs="Arial" w:eastAsia="Arial" w:hAnsi="Arial"/>
          <w:sz w:val="22"/>
          <w:szCs w:val="22"/>
        </w:rPr>
        <w:t xml:space="preserve">Her Fourth Amendment research for the §1983 matter required engagement with the constitutional exclusionary rule — evidence obtained in violation of the Fourth Amendment is inadmissible. Her analysis of the seizure's constitutionality required understanding the warrant requirement, exceptions, and the consequences of a constitutional violation under Mapp v. Ohio and its progeny. This constitutional evidence doctrine is squarely within ADJ 225's scope.</w:t>
      </w:r>
    </w:p>
    <w:p>
      <w:pPr>
        <w:spacing w:after="120"/>
      </w:pPr>
      <w:r>
        <w:rPr>
          <w:rFonts w:ascii="Arial" w:cs="Arial" w:eastAsia="Arial" w:hAnsi="Arial"/>
          <w:sz w:val="22"/>
          <w:szCs w:val="22"/>
        </w:rPr>
        <w:t xml:space="preserve">Her custody and contempt evidence organization demonstrates chain of custody principles in the civil context: mail tracking records, timestamped communications, and a chronological log maintained with sufficient specificity to establish that records accurately reflect the events they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A1628" w:val="clear"/>
            <w:tcMar>
              <w:top w:type="dxa" w:w="120"/>
              <w:left w:type="dxa" w:w="200"/>
              <w:bottom w:type="dxa" w:w="120"/>
              <w:right w:type="dxa" w:w="120"/>
            </w:tcMar>
          </w:tcPr>
          <w:p>
            <w:r>
              <w:rPr>
                <w:rFonts w:ascii="Arial" w:cs="Arial" w:eastAsia="Arial" w:hAnsi="Arial"/>
                <w:b/>
                <w:bCs/>
                <w:color w:val="C9A84C"/>
                <w:sz w:val="20"/>
                <w:szCs w:val="20"/>
              </w:rPr>
              <w:t xml:space="preserve">ADJ 241  |  Concentration + General Education (DJ)</w:t>
            </w:r>
          </w:p>
          <w:p>
            <w:r>
              <w:rPr>
                <w:rFonts w:ascii="Arial" w:cs="Arial" w:eastAsia="Arial" w:hAnsi="Arial"/>
                <w:b/>
                <w:bCs/>
                <w:color w:val="FFFFFF"/>
                <w:sz w:val="28"/>
                <w:szCs w:val="28"/>
              </w:rPr>
              <w:t xml:space="preserve">Criminal Justice and Diversity</w:t>
            </w:r>
          </w:p>
        </w:tc>
        <w:tc>
          <w:tcPr>
            <w:tcW w:type="dxa" w:w="236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w:cs="Arial" w:eastAsia="Arial" w:hAnsi="Arial"/>
                <w:b/>
                <w:bCs/>
                <w:color w:val="0A1628"/>
                <w:sz w:val="24"/>
                <w:szCs w:val="24"/>
              </w:rPr>
              <w:t xml:space="preserve">3 Credits</w:t>
            </w:r>
          </w:p>
        </w:tc>
      </w:tr>
    </w:tbl>
    <w:p>
      <w:pPr>
        <w:spacing w:after="120"/>
      </w:pPr>
    </w:p>
    <w:p>
      <w:pPr>
        <w:pStyle w:val="Heading3"/>
        <w:spacing w:after="80" w:before="200"/>
      </w:pPr>
      <w:r>
        <w:rPr>
          <w:rFonts w:ascii="Arial" w:cs="Arial" w:eastAsia="Arial" w:hAnsi="Arial"/>
          <w:b/>
          <w:bCs/>
          <w:color w:val="5A6475"/>
          <w:sz w:val="22"/>
          <w:szCs w:val="22"/>
        </w:rPr>
        <w:t xml:space="preserve">DCCC Course Description</w:t>
      </w:r>
    </w:p>
    <w:p>
      <w:pPr>
        <w:spacing w:after="120"/>
      </w:pPr>
      <w:r>
        <w:rPr>
          <w:rFonts w:ascii="Arial" w:cs="Arial" w:eastAsia="Arial" w:hAnsi="Arial"/>
          <w:sz w:val="22"/>
          <w:szCs w:val="22"/>
        </w:rPr>
        <w:t xml:space="preserve">Examines the intersection of race, class, gender, disability, and other social categories with the criminal justice system. Addresses systemic inequities, civil rights, community-police relations, and reform. Satisfies the Diversity &amp; Justice (DJ) General Education attribute.</w:t>
      </w:r>
    </w:p>
    <w:p>
      <w:pPr>
        <w:pStyle w:val="Heading3"/>
        <w:spacing w:after="80" w:before="200"/>
      </w:pPr>
      <w:r>
        <w:rPr>
          <w:rFonts w:ascii="Arial" w:cs="Arial" w:eastAsia="Arial" w:hAnsi="Arial"/>
          <w:b/>
          <w:bCs/>
          <w:color w:val="5A6475"/>
          <w:sz w:val="22"/>
          <w:szCs w:val="22"/>
        </w:rPr>
        <w:t xml:space="preserve">Prior Learning Claim Statement</w:t>
      </w:r>
    </w:p>
    <w:p>
      <w:pPr>
        <w:spacing w:after="120"/>
      </w:pPr>
      <w:r>
        <w:rPr>
          <w:rFonts w:ascii="Arial" w:cs="Arial" w:eastAsia="Arial" w:hAnsi="Arial"/>
          <w:sz w:val="22"/>
          <w:szCs w:val="22"/>
        </w:rPr>
        <w:t xml:space="preserve">Alexa Shuda's civil rights advocacy work demonstrates direct, lived engagement with the subject matter of ADJ 241 — the intersection of law enforcement power and individual rights, the accountability gap between official policy and practice, and the structural dimensions of civil rights violations by municipal actors.</w:t>
      </w:r>
    </w:p>
    <w:p>
      <w:pPr>
        <w:pStyle w:val="Heading3"/>
        <w:spacing w:after="80" w:before="200"/>
      </w:pPr>
      <w:r>
        <w:rPr>
          <w:rFonts w:ascii="Arial" w:cs="Arial" w:eastAsia="Arial" w:hAnsi="Arial"/>
          <w:b/>
          <w:bCs/>
          <w:color w:val="5A6475"/>
          <w:sz w:val="22"/>
          <w:szCs w:val="22"/>
        </w:rPr>
        <w:t xml:space="preserve">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§1983 Municipal Accountability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Research into Monell liability doctrine as a mechanism for systemic police accountability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04_HATBORO_1983_EDPA/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RTKL / Transparency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Enforcement of Right-to-Know Law against law enforcement agency — public accountability as a justice mechanism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05_RTKL_OOR_APPEALS/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Parental Rights Advocacy</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Advocacy for parental rights and children's rights in custody and education contexts — access and equity</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01_CUSTODY_CCP_2016-5628/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IDEA / Section 504 Advocacy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Education rights for children with disabilities — disability justice principles and enforcement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06_EDUCATION_FERPA_IDEA/</w:t>
            </w:r>
          </w:p>
        </w:tc>
      </w:tr>
    </w:tbl>
    <w:p>
      <w:pPr>
        <w:spacing w:after="120"/>
      </w:pPr>
    </w:p>
    <w:p>
      <w:pPr>
        <w:pStyle w:val="Heading3"/>
        <w:spacing w:after="80" w:before="200"/>
      </w:pPr>
      <w:r>
        <w:rPr>
          <w:rFonts w:ascii="Arial" w:cs="Arial" w:eastAsia="Arial" w:hAnsi="Arial"/>
          <w:b/>
          <w:bCs/>
          <w:color w:val="5A6475"/>
          <w:sz w:val="22"/>
          <w:szCs w:val="22"/>
        </w:rPr>
        <w:t xml:space="preserve">Competency Narrative</w:t>
      </w:r>
    </w:p>
    <w:p>
      <w:pPr>
        <w:spacing w:after="120"/>
      </w:pPr>
      <w:r>
        <w:rPr>
          <w:rFonts w:ascii="Arial" w:cs="Arial" w:eastAsia="Arial" w:hAnsi="Arial"/>
          <w:sz w:val="22"/>
          <w:szCs w:val="22"/>
        </w:rPr>
        <w:t xml:space="preserve">Her §1983 action addresses the accountability gap between official policy (HPD General Order 2.3.1 governing Internal Affairs) and actual practice (failure to conduct a proper investigation). The Monell doctrine is a legal accountability mechanism designed to address systemic misconduct — requiring proof that a constitutional violation results from official policy or custom. Her engagement with this doctrine demonstrates understanding of systemic accountability in law enforcement at the level ADJ 241 addresses.</w:t>
      </w:r>
    </w:p>
    <w:p>
      <w:pPr>
        <w:spacing w:after="120"/>
      </w:pPr>
      <w:r>
        <w:rPr>
          <w:rFonts w:ascii="Arial" w:cs="Arial" w:eastAsia="Arial" w:hAnsi="Arial"/>
          <w:sz w:val="22"/>
          <w:szCs w:val="22"/>
        </w:rPr>
        <w:t xml:space="preserve">Her RTKL enforcement work addresses a structural justice issue: the public's right of access to government records, and the accountability mechanisms that exist when agencies improperly withhold them. Two OOR appeals filed against a law enforcement agency directly implicate the community-police accountability themes central to ADJ 241.</w:t>
      </w:r>
    </w:p>
    <w:p>
      <w:pPr>
        <w:spacing w:after="120"/>
      </w:pPr>
      <w:r>
        <w:rPr>
          <w:rFonts w:ascii="Arial" w:cs="Arial" w:eastAsia="Arial" w:hAnsi="Arial"/>
          <w:sz w:val="22"/>
          <w:szCs w:val="22"/>
        </w:rPr>
        <w:t xml:space="preserve">Her advocacy for her children's rights under IDEA and Section 504 demonstrates engagement with disability justice in education: the rights of students with disabilities to appropriate services, procedural protections, and the obligations of school districts that frequently go unenforced without active parent advocacy.</w:t>
      </w:r>
    </w:p>
    <w:p>
      <w:r>
        <w:br w:type="page"/>
      </w:r>
    </w:p>
    <w:p>
      <w:pPr>
        <w:pStyle w:val="Heading1"/>
        <w:pageBreakBefore/>
        <w:pBdr>
          <w:bottom w:val="single" w:color="C9A84C" w:sz="8" w:space="4"/>
        </w:pBdr>
        <w:spacing w:after="200" w:before="0"/>
      </w:pPr>
      <w:r>
        <w:rPr>
          <w:rFonts w:ascii="Arial" w:cs="Arial" w:eastAsia="Arial" w:hAnsi="Arial"/>
          <w:b/>
          <w:bCs/>
          <w:color w:val="0A1628"/>
          <w:sz w:val="32"/>
          <w:szCs w:val="32"/>
        </w:rPr>
        <w:t xml:space="preserve">CERTIFICATION AND ASSESSOR RECORD</w:t>
      </w:r>
    </w:p>
    <w:p>
      <w:pPr>
        <w:spacing w:after="120"/>
      </w:pPr>
      <w:r>
        <w:rPr>
          <w:rFonts w:ascii="Arial" w:cs="Arial" w:eastAsia="Arial" w:hAnsi="Arial"/>
          <w:sz w:val="22"/>
          <w:szCs w:val="22"/>
        </w:rPr>
        <w:t xml:space="preserve">I, Alexa Shuda, certify that all evidence presented in this Prior Learning Assessment portfolio is authentic, accurately described, and directly reflective of skills and knowledge I have developed through experiential learning. I understand that misrepresentation of any evidence may result in denial of PLA credit and academic consequences under DCCC's Academic Integrity Policy.</w:t>
      </w:r>
    </w:p>
    <w:p>
      <w:pPr>
        <w:spacing w:after="400"/>
      </w:pPr>
    </w:p>
    <w:p>
      <w:pPr>
        <w:spacing w:after="200"/>
      </w:pPr>
      <w:r>
        <w:rPr>
          <w:rFonts w:ascii="Arial" w:cs="Arial" w:eastAsia="Arial" w:hAnsi="Arial"/>
          <w:sz w:val="22"/>
          <w:szCs w:val="22"/>
        </w:rPr>
        <w:t xml:space="preserve">Signature: ________________________________________   </w:t>
      </w:r>
      <w:r>
        <w:rPr>
          <w:rFonts w:ascii="Arial" w:cs="Arial" w:eastAsia="Arial" w:hAnsi="Arial"/>
          <w:sz w:val="22"/>
          <w:szCs w:val="22"/>
        </w:rPr>
        <w:t xml:space="preserve">Date: __________________</w:t>
      </w:r>
    </w:p>
    <w:p>
      <w:pPr>
        <w:spacing w:after="400"/>
      </w:pPr>
      <w:r>
        <w:rPr>
          <w:rFonts w:ascii="Arial" w:cs="Arial" w:eastAsia="Arial" w:hAnsi="Arial"/>
          <w:color w:val="5A6475"/>
          <w:sz w:val="20"/>
          <w:szCs w:val="20"/>
        </w:rPr>
        <w:t xml:space="preserve">Alexa Shuda  |  Student ID: P00721319  |  lex@puuere.com</w:t>
      </w:r>
    </w:p>
    <w:p>
      <w:pPr>
        <w:pBdr>
          <w:bottom w:val="single" w:color="C9A84C" w:sz="4" w:space="2"/>
        </w:pBdr>
        <w:spacing w:after="160"/>
      </w:pPr>
    </w:p>
    <w:p>
      <w:pPr>
        <w:spacing w:after="300"/>
        <w:jc w:val="center"/>
      </w:pPr>
      <w:r>
        <w:rPr>
          <w:rFonts w:ascii="Arial" w:cs="Arial" w:eastAsia="Arial" w:hAnsi="Arial"/>
          <w:b/>
          <w:bCs/>
          <w:color w:val="0A1628"/>
          <w:sz w:val="20"/>
          <w:szCs w:val="20"/>
        </w:rPr>
        <w:t xml:space="preserve">FOR DCCC ASSESSOR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Evidence Item</w:t>
            </w:r>
          </w:p>
        </w:tc>
        <w:tc>
          <w:tcPr>
            <w:tcW w:type="dxa" w:w="420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Description / Competency Demonstrated</w:t>
            </w:r>
          </w:p>
        </w:tc>
        <w:tc>
          <w:tcPr>
            <w:tcW w:type="dxa" w:w="2360"/>
            <w:tcBorders>
              <w:top w:val="single" w:color="CCCCCC" w:sz="1"/>
              <w:left w:val="single" w:color="CCCCCC" w:sz="1"/>
              <w:bottom w:val="single" w:color="CCCCCC" w:sz="1"/>
              <w:right w:val="single" w:color="CCCCCC" w:sz="1"/>
            </w:tcBorders>
            <w:shd w:fill="0A1628" w:val="clear"/>
            <w:tcMar>
              <w:top w:type="dxa" w:w="60"/>
              <w:left w:type="dxa" w:w="120"/>
              <w:bottom w:type="dxa" w:w="60"/>
              <w:right w:type="dxa" w:w="120"/>
            </w:tcMar>
          </w:tcPr>
          <w:p>
            <w:r>
              <w:rPr>
                <w:rFonts w:ascii="Arial" w:cs="Arial" w:eastAsia="Arial" w:hAnsi="Arial"/>
                <w:b/>
                <w:bCs/>
                <w:color w:val="FFFFFF"/>
                <w:sz w:val="20"/>
                <w:szCs w:val="20"/>
              </w:rPr>
              <w:t xml:space="preserve">Location / Folder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100 — Intro Legal Studies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110 — Legal Research &amp; Writing 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120 — Legal Research &amp; Writing II</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130 — Technology in the Law (TC)</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210 — Civil Lit &amp; Tort Principles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211 — Civil Lit &amp; Tort Applications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199 — Legal Ethics</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LGL 240 — Family Law</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LGL 246 — Constitutional Law</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101 — Intro Criminal Justice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ADJ 225 — Criminal Evidence</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ADJ 241 — Diversity &amp; Justice (DJ)</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20"/>
                <w:szCs w:val="20"/>
              </w:rPr>
              <w:t xml:space="preserve">Credits Awarded: 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5276"/>
                <w:sz w:val="20"/>
                <w:szCs w:val="20"/>
              </w:rPr>
              <w:t xml:space="preserve">Assessor Initials: ______</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bCs/>
                <w:color w:val="1A1A2E"/>
                <w:sz w:val="20"/>
                <w:szCs w:val="20"/>
              </w:rPr>
              <w:t xml:space="preserve">TOTAL PLA CREDITS AWARDED</w:t>
            </w:r>
          </w:p>
        </w:tc>
        <w:tc>
          <w:tcPr>
            <w:tcW w:type="dxa" w:w="4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1A2E"/>
                <w:sz w:val="20"/>
                <w:szCs w:val="20"/>
              </w:rPr>
              <w:t xml:space="preserve">_______ / 36 maximum</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b w:val="false"/>
                <w:bCs w:val="false"/>
                <w:color w:val="1A5276"/>
                <w:sz w:val="20"/>
                <w:szCs w:val="20"/>
              </w:rPr>
              <w:t xml:space="preserve">Lead Assessor: __________</w:t>
            </w:r>
          </w:p>
        </w:tc>
      </w:tr>
    </w:tbl>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4" w:space="2"/>
      </w:pBdr>
      <w:spacing w:before="60"/>
      <w:jc w:val="center"/>
    </w:pPr>
    <w:r>
      <w:rPr>
        <w:rFonts w:ascii="Arial" w:cs="Arial" w:eastAsia="Arial" w:hAnsi="Arial"/>
        <w:b/>
        <w:bCs/>
        <w:color w:val="8B0000"/>
        <w:sz w:val="16"/>
        <w:szCs w:val="16"/>
      </w:rPr>
      <w:t xml:space="preserve">CONFIDENTIAL — FOR DCCC ACADEMIC REVIEW ONLY  |  Page </w:t>
    </w:r>
    <w:r>
      <w:rPr>
        <w:rFonts w:ascii="Arial" w:cs="Arial" w:eastAsia="Arial" w:hAnsi="Arial"/>
        <w:b/>
        <w:bCs/>
        <w:color w:val="8B0000"/>
        <w:sz w:val="16"/>
        <w:szCs w:val="16"/>
      </w:rPr>
      <w:fldChar w:fldCharType="begin"/>
      <w:instrText xml:space="preserve">PAGE</w:instrText>
      <w:fldChar w:fldCharType="separate"/>
      <w:fldChar w:fldCharType="end"/>
    </w:r>
    <w:r>
      <w:rPr>
        <w:rFonts w:ascii="Arial" w:cs="Arial" w:eastAsia="Arial" w:hAnsi="Arial"/>
        <w:b/>
        <w:bCs/>
        <w:color w:val="8B0000"/>
        <w:sz w:val="16"/>
        <w:szCs w:val="16"/>
      </w:rPr>
      <w:t xml:space="preserve"> of </w:t>
    </w:r>
    <w:r>
      <w:rPr>
        <w:rFonts w:ascii="Arial" w:cs="Arial" w:eastAsia="Arial" w:hAnsi="Arial"/>
        <w:b/>
        <w:bCs/>
        <w:color w:val="8B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60"/>
      <w:jc w:val="center"/>
    </w:pPr>
    <w:r>
      <w:rPr>
        <w:rFonts w:ascii="Arial" w:cs="Arial" w:eastAsia="Arial" w:hAnsi="Arial"/>
        <w:b/>
        <w:bCs/>
        <w:color w:val="0A1628"/>
        <w:sz w:val="18"/>
        <w:szCs w:val="18"/>
      </w:rPr>
      <w:t xml:space="preserve">Alexa Shuda  |  Student ID: P00721319</w:t>
    </w:r>
  </w:p>
  <w:p>
    <w:pPr>
      <w:spacing w:after="0"/>
      <w:jc w:val="center"/>
    </w:pPr>
    <w:r>
      <w:rPr>
        <w:rFonts w:ascii="Arial" w:cs="Arial" w:eastAsia="Arial" w:hAnsi="Arial"/>
        <w:color w:val="5A6475"/>
        <w:sz w:val="16"/>
        <w:szCs w:val="16"/>
      </w:rPr>
      <w:t xml:space="preserve">Delaware County Community College  |  Legal Studies (LGL) Program  |  Prior Learning Assessment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64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2026-06-11T09:16:55.198Z</dcterms:created>
  <dcterms:modified xsi:type="dcterms:W3CDTF">2026-06-11T09:16:55.199Z</dcterms:modified>
</cp:coreProperties>
</file>

<file path=docProps/custom.xml><?xml version="1.0" encoding="utf-8"?>
<Properties xmlns="http://schemas.openxmlformats.org/officeDocument/2006/custom-properties" xmlns:vt="http://schemas.openxmlformats.org/officeDocument/2006/docPropsVTypes"/>
</file>