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0A1628"/>
          <w:sz w:val="40"/>
          <w:szCs w:val="40"/>
        </w:rPr>
        <w:t xml:space="preserve">PRIOR LEARNING ASSESSMENT PORTFOLIO</w:t>
      </w:r>
    </w:p>
    <w:p>
      <w:pPr>
        <w:pBdr>
          <w:bottom w:val="single" w:color="C9A84C" w:sz="10" w:space="4"/>
        </w:pBdr>
        <w:spacing w:after="500"/>
        <w:jc w:val="center"/>
      </w:pPr>
      <w:r>
        <w:rPr>
          <w:rFonts w:ascii="Arial" w:cs="Arial" w:eastAsia="Arial" w:hAnsi="Arial"/>
          <w:color w:val="C9A84C"/>
          <w:sz w:val="28"/>
          <w:szCs w:val="28"/>
        </w:rPr>
        <w:t xml:space="preserve">Associate in Arts — Legal and Paralegal Studies (LGL)</w:t>
      </w:r>
    </w:p>
    <w:p>
      <w:pPr>
        <w:spacing w:after="300"/>
      </w:pPr>
    </w:p>
    <w:p>
      <w:pPr>
        <w:spacing w:after="80"/>
        <w:jc w:val="center"/>
      </w:pPr>
      <w:r>
        <w:rPr>
          <w:rFonts w:ascii="Arial" w:cs="Arial" w:eastAsia="Arial" w:hAnsi="Arial"/>
          <w:b/>
          <w:bCs/>
          <w:color w:val="0A1628"/>
          <w:sz w:val="28"/>
          <w:szCs w:val="28"/>
        </w:rPr>
        <w:t xml:space="preserve">Alexa Shuda (f.k.a. Rossini)</w:t>
      </w:r>
    </w:p>
    <w:p>
      <w:pPr>
        <w:spacing w:after="80"/>
        <w:jc w:val="center"/>
      </w:pPr>
      <w:r>
        <w:rPr>
          <w:rFonts w:ascii="Arial" w:cs="Arial" w:eastAsia="Arial" w:hAnsi="Arial"/>
          <w:color w:val="1A1A2E"/>
          <w:sz w:val="22"/>
          <w:szCs w:val="22"/>
        </w:rPr>
        <w:t xml:space="preserve">Student ID: P00721319  |  lex@puuere.com</w:t>
      </w:r>
    </w:p>
    <w:p>
      <w:pPr>
        <w:spacing w:after="300"/>
      </w:pPr>
    </w:p>
    <w:p>
      <w:pPr>
        <w:spacing w:after="80"/>
        <w:jc w:val="center"/>
      </w:pPr>
      <w:r>
        <w:rPr>
          <w:rFonts w:ascii="Arial" w:cs="Arial" w:eastAsia="Arial" w:hAnsi="Arial"/>
          <w:b/>
          <w:bCs/>
          <w:color w:val="0A1628"/>
          <w:sz w:val="24"/>
          <w:szCs w:val="24"/>
        </w:rPr>
        <w:t xml:space="preserve">Delaware County Community College</w:t>
      </w:r>
    </w:p>
    <w:p>
      <w:pPr>
        <w:spacing w:after="80"/>
        <w:jc w:val="center"/>
      </w:pPr>
      <w:r>
        <w:rPr>
          <w:rFonts w:ascii="Arial" w:cs="Arial" w:eastAsia="Arial" w:hAnsi="Arial"/>
          <w:color w:val="1A1A2E"/>
          <w:sz w:val="22"/>
          <w:szCs w:val="22"/>
        </w:rPr>
        <w:t xml:space="preserve">Department of Legal Studies &amp; Criminal Justice</w:t>
      </w:r>
    </w:p>
    <w:p>
      <w:pPr>
        <w:spacing w:after="80"/>
        <w:jc w:val="center"/>
      </w:pPr>
      <w:r>
        <w:rPr>
          <w:rFonts w:ascii="Arial" w:cs="Arial" w:eastAsia="Arial" w:hAnsi="Arial"/>
          <w:color w:val="5A6475"/>
          <w:sz w:val="22"/>
          <w:szCs w:val="22"/>
        </w:rPr>
        <w:t xml:space="preserve">Catalog Year: Fall/Winter 2025</w:t>
      </w:r>
    </w:p>
    <w:p>
      <w:pPr>
        <w:spacing w:after="300"/>
      </w:pPr>
    </w:p>
    <w:p>
      <w:pPr>
        <w:spacing w:after="60"/>
        <w:jc w:val="center"/>
      </w:pPr>
      <w:r>
        <w:rPr>
          <w:rFonts w:ascii="Arial" w:cs="Arial" w:eastAsia="Arial" w:hAnsi="Arial"/>
          <w:color w:val="5A6475"/>
          <w:sz w:val="20"/>
          <w:szCs w:val="20"/>
        </w:rPr>
        <w:t xml:space="preserve">CONCENTRATION DECLARED:</w:t>
      </w:r>
    </w:p>
    <w:p>
      <w:pPr>
        <w:spacing w:after="200"/>
        <w:jc w:val="center"/>
      </w:pPr>
      <w:r>
        <w:rPr>
          <w:rFonts w:ascii="Arial" w:cs="Arial" w:eastAsia="Arial" w:hAnsi="Arial"/>
          <w:b/>
          <w:bCs/>
          <w:color w:val="C9A84C"/>
          <w:sz w:val="30"/>
          <w:szCs w:val="30"/>
        </w:rPr>
        <w:t xml:space="preserve">LAW AND CRIMINAL JUSTICE</w:t>
      </w:r>
    </w:p>
    <w:p>
      <w:pPr>
        <w:spacing w:after="300"/>
      </w:pPr>
    </w:p>
    <w:p>
      <w:pPr>
        <w:spacing w:after="80"/>
        <w:jc w:val="center"/>
      </w:pPr>
      <w:r>
        <w:rPr>
          <w:rFonts w:ascii="Arial" w:cs="Arial" w:eastAsia="Arial" w:hAnsi="Arial"/>
          <w:color w:val="5A6475"/>
          <w:sz w:val="22"/>
          <w:szCs w:val="22"/>
        </w:rPr>
        <w:t xml:space="preserve">Submission Date: June 2026</w:t>
      </w:r>
    </w:p>
    <w:p>
      <w:pPr>
        <w:spacing w:after="80"/>
        <w:jc w:val="center"/>
      </w:pPr>
      <w:r>
        <w:rPr>
          <w:rFonts w:ascii="Arial" w:cs="Arial" w:eastAsia="Arial" w:hAnsi="Arial"/>
          <w:color w:val="5A6475"/>
          <w:sz w:val="20"/>
          <w:szCs w:val="20"/>
        </w:rPr>
        <w:t xml:space="preserve">Degree Works Audit Reference: audit-P00721319-A002u9po  |  Audit Date: 06/09/2026</w:t>
      </w:r>
    </w:p>
    <w:p>
      <w:r>
        <w:br w:type="page"/>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PORTFOLIO OVERVIEW</w:t>
      </w:r>
    </w:p>
    <w:p>
      <w:pPr>
        <w:pStyle w:val="Heading2"/>
        <w:spacing w:after="120" w:before="280"/>
      </w:pPr>
      <w:r>
        <w:rPr>
          <w:rFonts w:ascii="Arial" w:cs="Arial" w:eastAsia="Arial" w:hAnsi="Arial"/>
          <w:b/>
          <w:bCs/>
          <w:color w:val="1A1A2E"/>
          <w:sz w:val="26"/>
          <w:szCs w:val="26"/>
        </w:rPr>
        <w:t xml:space="preserve">About This Submission</w:t>
      </w:r>
    </w:p>
    <w:p>
      <w:pPr>
        <w:spacing w:after="120"/>
      </w:pPr>
      <w:r>
        <w:rPr>
          <w:rFonts w:ascii="Arial" w:cs="Arial" w:eastAsia="Arial" w:hAnsi="Arial"/>
          <w:sz w:val="22"/>
          <w:szCs w:val="22"/>
        </w:rPr>
        <w:t xml:space="preserve">This Prior Learning Assessment (PLA) portfolio documents experiential learning competencies equivalent to 30 credit hours of coursework in the Associate in Arts, Legal and Paralegal Studies (LGL) program at Delaware County Community College. An additional 6 credit hours of ACE-evaluated credit from AmeriCorps NCCC service is submitted separately through the transfer credit process (records@dccc.edu), bringing the total nontraditional credit claimed to 36 credit hours — exhausting the combined nontraditional credit cap established by DCCC policy (catalog year Fall/Winter 2025).</w:t>
      </w:r>
    </w:p>
    <w:p>
      <w:pPr>
        <w:spacing w:after="120"/>
      </w:pPr>
      <w:r>
        <w:rPr>
          <w:rFonts w:ascii="Arial" w:cs="Arial" w:eastAsia="Arial" w:hAnsi="Arial"/>
          <w:sz w:val="22"/>
          <w:szCs w:val="22"/>
        </w:rPr>
        <w:t xml:space="preserve">This portfolio is calibrated against the official Degree Works audit for Student ID P00721319 (audit date 06/09/2026, catalog year Fall/Winter 2025) and strictly observes all applicable credit limits, including the 9-credit LGL specialty PLA cap.</w:t>
      </w:r>
    </w:p>
    <w:p>
      <w:pPr>
        <w:pStyle w:val="Heading2"/>
        <w:spacing w:after="120" w:before="280"/>
      </w:pPr>
      <w:r>
        <w:rPr>
          <w:rFonts w:ascii="Arial" w:cs="Arial" w:eastAsia="Arial" w:hAnsi="Arial"/>
          <w:b/>
          <w:bCs/>
          <w:color w:val="1A1A2E"/>
          <w:sz w:val="26"/>
          <w:szCs w:val="26"/>
        </w:rPr>
        <w:t xml:space="preserve">Governing Credit Limits</w:t>
      </w:r>
    </w:p>
    <w:p>
      <w:pPr>
        <w:spacing w:after="120"/>
      </w:pPr>
      <w:r>
        <w:rPr>
          <w:rFonts w:ascii="Arial" w:cs="Arial" w:eastAsia="Arial" w:hAnsi="Arial"/>
          <w:sz w:val="22"/>
          <w:szCs w:val="22"/>
        </w:rPr>
        <w:t xml:space="preserve">DCCC's 2025-2026 catalog establishes the following limits applicable to this submission:</w:t>
      </w:r>
    </w:p>
    <w:p>
      <w:pPr>
        <w:pStyle w:val="ListParagraph"/>
        <w:numPr>
          <w:ilvl w:val="0"/>
          <w:numId w:val="2"/>
        </w:numPr>
        <w:spacing w:after="60"/>
      </w:pPr>
      <w:r>
        <w:rPr>
          <w:rFonts w:ascii="Arial" w:cs="Arial" w:eastAsia="Arial" w:hAnsi="Arial"/>
          <w:sz w:val="22"/>
          <w:szCs w:val="22"/>
        </w:rPr>
        <w:t xml:space="preserve">COMBINED NONTRADITIONAL CAP: A maximum of 36 credits may be awarded through all nontraditional sources combined — PLA portfolio, CLEP/DSST, AmeriCorps ACE, transfer, AP, and military. This portfolio (30 credits) plus AmeriCorps ACE (6 credits) = 36 credits, exhausting the cap.</w:t>
      </w:r>
    </w:p>
    <w:p>
      <w:pPr>
        <w:pStyle w:val="ListParagraph"/>
        <w:numPr>
          <w:ilvl w:val="0"/>
          <w:numId w:val="2"/>
        </w:numPr>
        <w:spacing w:after="60"/>
      </w:pPr>
      <w:r>
        <w:rPr>
          <w:rFonts w:ascii="Arial" w:cs="Arial" w:eastAsia="Arial" w:hAnsi="Arial"/>
          <w:sz w:val="22"/>
          <w:szCs w:val="22"/>
        </w:rPr>
        <w:t xml:space="preserve">LGL SPECIALTY PLA CAP: 'No more than nine (9) specialty credits may be awarded for Credit for Prior Learning assessment by portfolio or exam.' This portfolio claims exactly 9 LGL specialty credits — LGL 130, LGL 210, and LGL 211 — and does not exceed this limit.</w:t>
      </w:r>
    </w:p>
    <w:p>
      <w:pPr>
        <w:pStyle w:val="ListParagraph"/>
        <w:numPr>
          <w:ilvl w:val="0"/>
          <w:numId w:val="2"/>
        </w:numPr>
        <w:spacing w:after="60"/>
      </w:pPr>
      <w:r>
        <w:rPr>
          <w:rFonts w:ascii="Arial" w:cs="Arial" w:eastAsia="Arial" w:hAnsi="Arial"/>
          <w:sz w:val="22"/>
          <w:szCs w:val="22"/>
        </w:rPr>
        <w:t xml:space="preserve">LGL CLASSROOM MINIMUM: 'Students must take at least nine (9) semester credits or the equivalent of legal specialty courses through traditional classroom and/or synchronous online instruction.' This requirement is satisfied by the LGL courses not claimed in this portfolio: LGL 100, 110, 120, 140, 199, 240, and 246.</w:t>
      </w:r>
    </w:p>
    <w:p>
      <w:pPr>
        <w:pStyle w:val="ListParagraph"/>
        <w:numPr>
          <w:ilvl w:val="0"/>
          <w:numId w:val="2"/>
        </w:numPr>
        <w:spacing w:after="60"/>
      </w:pPr>
      <w:r>
        <w:rPr>
          <w:rFonts w:ascii="Arial" w:cs="Arial" w:eastAsia="Arial" w:hAnsi="Arial"/>
          <w:sz w:val="22"/>
          <w:szCs w:val="22"/>
        </w:rPr>
        <w:t xml:space="preserve">ADJ COURSES: ADJ-coded courses are not LGL specialty credits. ADJ 241, ADJ 101, and ADJ 225 count toward the 36-credit combined cap only — not toward the 9-credit LGL specialty PLA limit.</w:t>
      </w:r>
    </w:p>
    <w:p>
      <w:pPr>
        <w:spacing w:after="120"/>
      </w:pPr>
    </w:p>
    <w:p>
      <w:pPr>
        <w:pStyle w:val="Heading2"/>
        <w:spacing w:after="120" w:before="280"/>
      </w:pPr>
      <w:r>
        <w:rPr>
          <w:rFonts w:ascii="Arial" w:cs="Arial" w:eastAsia="Arial" w:hAnsi="Arial"/>
          <w:b/>
          <w:bCs/>
          <w:color w:val="1A1A2E"/>
          <w:sz w:val="26"/>
          <w:szCs w:val="26"/>
        </w:rPr>
        <w:t xml:space="preserve">PLA Credit Summary — Portfolio (30 Credits) + AmeriCorps ACE (6 Credits) = 36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Courses / Source</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Credits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Specialty (PLA)</w:t>
            </w:r>
          </w:p>
        </w:tc>
        <w:tc>
          <w:tcPr>
            <w:tcW w:type="dxa" w:w="4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LGL 130, LGL 210, LGL 211  [AT 9-CREDIT LGL CAP]</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9 credits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ADJ Courses (PLA)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ADJ 241, ADJ 101, ADJ 225 — Ethics in CJ</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9 credits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General Education (PLA)</w:t>
            </w:r>
          </w:p>
        </w:tc>
        <w:tc>
          <w:tcPr>
            <w:tcW w:type="dxa" w:w="4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ENG 100, ENG 112, SPC 101, PHI 100</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12 credits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PORTFOLIO SUBTOTAL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10 courses — all via PLA portfolio assessment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30 credits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AmeriCorps NCCC ACE</w:t>
            </w:r>
          </w:p>
        </w:tc>
        <w:tc>
          <w:tcPr>
            <w:tcW w:type="dxa" w:w="4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2 terms (Atlantic + Pacific) — via transfer credit process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6 credits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COMBINED TOTAL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30 portfolio PLA + 6 ACE transfer = 36/36 cap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36 credits</w:t>
            </w:r>
          </w:p>
        </w:tc>
      </w:tr>
    </w:tbl>
    <w:p>
      <w:pPr>
        <w:spacing w:after="120"/>
      </w:pPr>
    </w:p>
    <w:p>
      <w:pPr>
        <w:pStyle w:val="Heading2"/>
        <w:spacing w:after="120" w:before="280"/>
      </w:pPr>
      <w:r>
        <w:rPr>
          <w:rFonts w:ascii="Arial" w:cs="Arial" w:eastAsia="Arial" w:hAnsi="Arial"/>
          <w:b/>
          <w:bCs/>
          <w:color w:val="1A1A2E"/>
          <w:sz w:val="26"/>
          <w:szCs w:val="26"/>
        </w:rPr>
        <w:t xml:space="preserve">AmeriCorps NCCC Credit — Transfer Process (Separate from This Portfolio)</w:t>
      </w:r>
    </w:p>
    <w:p>
      <w:pPr>
        <w:spacing w:after="120"/>
      </w:pPr>
      <w:r>
        <w:rPr>
          <w:rFonts w:ascii="Arial" w:cs="Arial" w:eastAsia="Arial" w:hAnsi="Arial"/>
          <w:sz w:val="22"/>
          <w:szCs w:val="22"/>
        </w:rPr>
        <w:t xml:space="preserve">The petitioner completed two full terms of AmeriCorps National Civilian Community Corps service: Atlantic Region (1,746 hours) and Pacific Region (1,883 hours), totaling 3,629 service hours. AmeriCorps NCCC carries ACE credit recommendations of 3 semester hours per term of service (6 credits total). These 6 ACE credit hours are submitted separately through DCCC's transfer credit process (records@dccc.edu) and do not flow through this portfolio assessment. They are included in the combined 36-credit cap accounting above.</w:t>
      </w:r>
    </w:p>
    <w:p>
      <w:pPr>
        <w:pStyle w:val="Heading2"/>
        <w:spacing w:after="120" w:before="280"/>
      </w:pPr>
      <w:r>
        <w:rPr>
          <w:rFonts w:ascii="Arial" w:cs="Arial" w:eastAsia="Arial" w:hAnsi="Arial"/>
          <w:b/>
          <w:bCs/>
          <w:color w:val="1A1A2E"/>
          <w:sz w:val="26"/>
          <w:szCs w:val="26"/>
        </w:rPr>
        <w:t xml:space="preserve">Courses Required in Classroom — Not Claimed in This Portfolio</w:t>
      </w:r>
    </w:p>
    <w:p>
      <w:pPr>
        <w:spacing w:after="120"/>
      </w:pPr>
      <w:r>
        <w:rPr>
          <w:rFonts w:ascii="Arial" w:cs="Arial" w:eastAsia="Arial" w:hAnsi="Arial"/>
          <w:sz w:val="22"/>
          <w:szCs w:val="22"/>
        </w:rPr>
        <w:t xml:space="preserve">The following courses are not claimed here and must be satisfied through traditional classroom or synchronous online instruction:</w:t>
      </w:r>
    </w:p>
    <w:p>
      <w:pPr>
        <w:pStyle w:val="ListParagraph"/>
        <w:numPr>
          <w:ilvl w:val="0"/>
          <w:numId w:val="2"/>
        </w:numPr>
        <w:spacing w:after="60"/>
      </w:pPr>
      <w:r>
        <w:rPr>
          <w:rFonts w:ascii="Arial" w:cs="Arial" w:eastAsia="Arial" w:hAnsi="Arial"/>
          <w:sz w:val="22"/>
          <w:szCs w:val="22"/>
        </w:rPr>
        <w:t xml:space="preserve">LGL 100 — Introduction to Legal &amp; Paralegal Studies (3 cr)</w:t>
      </w:r>
    </w:p>
    <w:p>
      <w:pPr>
        <w:pStyle w:val="ListParagraph"/>
        <w:numPr>
          <w:ilvl w:val="0"/>
          <w:numId w:val="2"/>
        </w:numPr>
        <w:spacing w:after="60"/>
      </w:pPr>
      <w:r>
        <w:rPr>
          <w:rFonts w:ascii="Arial" w:cs="Arial" w:eastAsia="Arial" w:hAnsi="Arial"/>
          <w:sz w:val="22"/>
          <w:szCs w:val="22"/>
        </w:rPr>
        <w:t xml:space="preserve">LGL 110 — Legal Research &amp; Writing I (3 cr)</w:t>
      </w:r>
    </w:p>
    <w:p>
      <w:pPr>
        <w:pStyle w:val="ListParagraph"/>
        <w:numPr>
          <w:ilvl w:val="0"/>
          <w:numId w:val="2"/>
        </w:numPr>
        <w:spacing w:after="60"/>
      </w:pPr>
      <w:r>
        <w:rPr>
          <w:rFonts w:ascii="Arial" w:cs="Arial" w:eastAsia="Arial" w:hAnsi="Arial"/>
          <w:sz w:val="22"/>
          <w:szCs w:val="22"/>
        </w:rPr>
        <w:t xml:space="preserve">LGL 120 — Legal Research &amp; Writing II (3 cr)</w:t>
      </w:r>
    </w:p>
    <w:p>
      <w:pPr>
        <w:pStyle w:val="ListParagraph"/>
        <w:numPr>
          <w:ilvl w:val="0"/>
          <w:numId w:val="2"/>
        </w:numPr>
        <w:spacing w:after="60"/>
      </w:pPr>
      <w:r>
        <w:rPr>
          <w:rFonts w:ascii="Arial" w:cs="Arial" w:eastAsia="Arial" w:hAnsi="Arial"/>
          <w:sz w:val="22"/>
          <w:szCs w:val="22"/>
        </w:rPr>
        <w:t xml:space="preserve">LGL 140 — Contract Law (3 cr)</w:t>
      </w:r>
    </w:p>
    <w:p>
      <w:pPr>
        <w:pStyle w:val="ListParagraph"/>
        <w:numPr>
          <w:ilvl w:val="0"/>
          <w:numId w:val="2"/>
        </w:numPr>
        <w:spacing w:after="60"/>
      </w:pPr>
      <w:r>
        <w:rPr>
          <w:rFonts w:ascii="Arial" w:cs="Arial" w:eastAsia="Arial" w:hAnsi="Arial"/>
          <w:sz w:val="22"/>
          <w:szCs w:val="22"/>
        </w:rPr>
        <w:t xml:space="preserve">LGL 199 — Legal Ethics / Legal Experience (3 cr)</w:t>
      </w:r>
    </w:p>
    <w:p>
      <w:pPr>
        <w:pStyle w:val="ListParagraph"/>
        <w:numPr>
          <w:ilvl w:val="0"/>
          <w:numId w:val="2"/>
        </w:numPr>
        <w:spacing w:after="60"/>
      </w:pPr>
      <w:r>
        <w:rPr>
          <w:rFonts w:ascii="Arial" w:cs="Arial" w:eastAsia="Arial" w:hAnsi="Arial"/>
          <w:sz w:val="22"/>
          <w:szCs w:val="22"/>
        </w:rPr>
        <w:t xml:space="preserve">LGL 240 — Family Law (3 cr)</w:t>
      </w:r>
    </w:p>
    <w:p>
      <w:pPr>
        <w:pStyle w:val="ListParagraph"/>
        <w:numPr>
          <w:ilvl w:val="0"/>
          <w:numId w:val="2"/>
        </w:numPr>
        <w:spacing w:after="60"/>
      </w:pPr>
      <w:r>
        <w:rPr>
          <w:rFonts w:ascii="Arial" w:cs="Arial" w:eastAsia="Arial" w:hAnsi="Arial"/>
          <w:sz w:val="22"/>
          <w:szCs w:val="22"/>
        </w:rPr>
        <w:t xml:space="preserve">LGL 246 — Elder Law (3 cr)</w:t>
      </w:r>
    </w:p>
    <w:p>
      <w:pPr>
        <w:pStyle w:val="ListParagraph"/>
        <w:numPr>
          <w:ilvl w:val="0"/>
          <w:numId w:val="2"/>
        </w:numPr>
        <w:spacing w:after="60"/>
      </w:pPr>
      <w:r>
        <w:rPr>
          <w:rFonts w:ascii="Arial" w:cs="Arial" w:eastAsia="Arial" w:hAnsi="Arial"/>
          <w:sz w:val="22"/>
          <w:szCs w:val="22"/>
        </w:rPr>
        <w:t xml:space="preserve">MAT 120 — Applied Mathematics (3 cr)</w:t>
      </w:r>
    </w:p>
    <w:p>
      <w:pPr>
        <w:pStyle w:val="ListParagraph"/>
        <w:numPr>
          <w:ilvl w:val="0"/>
          <w:numId w:val="2"/>
        </w:numPr>
        <w:spacing w:after="60"/>
      </w:pPr>
      <w:r>
        <w:rPr>
          <w:rFonts w:ascii="Arial" w:cs="Arial" w:eastAsia="Arial" w:hAnsi="Arial"/>
          <w:sz w:val="22"/>
          <w:szCs w:val="22"/>
        </w:rPr>
        <w:t xml:space="preserve">SI Lab Science — BIO 105, CHE 105, ESS 105, or PHY 105 (4 cr)</w:t>
      </w:r>
    </w:p>
    <w:p>
      <w:pPr>
        <w:spacing w:after="120"/>
      </w:pPr>
    </w:p>
    <w:p>
      <w:pPr>
        <w:pStyle w:val="Heading2"/>
        <w:spacing w:after="120" w:before="280"/>
      </w:pPr>
      <w:r>
        <w:rPr>
          <w:rFonts w:ascii="Arial" w:cs="Arial" w:eastAsia="Arial" w:hAnsi="Arial"/>
          <w:b/>
          <w:bCs/>
          <w:color w:val="1A1A2E"/>
          <w:sz w:val="26"/>
          <w:szCs w:val="26"/>
        </w:rPr>
        <w:t xml:space="preserve">Evidence Organization</w:t>
      </w:r>
    </w:p>
    <w:p>
      <w:pPr>
        <w:spacing w:after="120"/>
      </w:pPr>
      <w:r>
        <w:rPr>
          <w:rFonts w:ascii="Arial" w:cs="Arial" w:eastAsia="Arial" w:hAnsi="Arial"/>
          <w:sz w:val="22"/>
          <w:szCs w:val="22"/>
        </w:rPr>
        <w:t xml:space="preserve">All supporting evidence is organized in the following portfolio directory structure:</w:t>
      </w:r>
    </w:p>
    <w:p>
      <w:pPr>
        <w:pStyle w:val="ListParagraph"/>
        <w:numPr>
          <w:ilvl w:val="0"/>
          <w:numId w:val="2"/>
        </w:numPr>
        <w:spacing w:after="60"/>
      </w:pPr>
      <w:r>
        <w:rPr>
          <w:rFonts w:ascii="Arial" w:cs="Arial" w:eastAsia="Arial" w:hAnsi="Arial"/>
          <w:sz w:val="22"/>
          <w:szCs w:val="22"/>
        </w:rPr>
        <w:t xml:space="preserve">01_CUSTODY_CCP_2016-5628/ — Delaware County CCP No. 2016-5628 custody matter</w:t>
      </w:r>
    </w:p>
    <w:p>
      <w:pPr>
        <w:pStyle w:val="ListParagraph"/>
        <w:numPr>
          <w:ilvl w:val="0"/>
          <w:numId w:val="2"/>
        </w:numPr>
        <w:spacing w:after="60"/>
      </w:pPr>
      <w:r>
        <w:rPr>
          <w:rFonts w:ascii="Arial" w:cs="Arial" w:eastAsia="Arial" w:hAnsi="Arial"/>
          <w:sz w:val="22"/>
          <w:szCs w:val="22"/>
        </w:rPr>
        <w:t xml:space="preserve">02_RELOCATION_VIOLATION/ — 23 Pa.C.S. §5337 relocation evidence</w:t>
      </w:r>
    </w:p>
    <w:p>
      <w:pPr>
        <w:pStyle w:val="ListParagraph"/>
        <w:numPr>
          <w:ilvl w:val="0"/>
          <w:numId w:val="2"/>
        </w:numPr>
        <w:spacing w:after="60"/>
      </w:pPr>
      <w:r>
        <w:rPr>
          <w:rFonts w:ascii="Arial" w:cs="Arial" w:eastAsia="Arial" w:hAnsi="Arial"/>
          <w:sz w:val="22"/>
          <w:szCs w:val="22"/>
        </w:rPr>
        <w:t xml:space="preserve">03_CONTEMPT_EVIDENCE/ — withheld parenting time documentation</w:t>
      </w:r>
    </w:p>
    <w:p>
      <w:pPr>
        <w:pStyle w:val="ListParagraph"/>
        <w:numPr>
          <w:ilvl w:val="0"/>
          <w:numId w:val="2"/>
        </w:numPr>
        <w:spacing w:after="60"/>
      </w:pPr>
      <w:r>
        <w:rPr>
          <w:rFonts w:ascii="Arial" w:cs="Arial" w:eastAsia="Arial" w:hAnsi="Arial"/>
          <w:sz w:val="22"/>
          <w:szCs w:val="22"/>
        </w:rPr>
        <w:t xml:space="preserve">04_HATBORO_1983_EDPA/ — 42 U.S.C. §1983 federal civil rights action materials</w:t>
      </w:r>
    </w:p>
    <w:p>
      <w:pPr>
        <w:pStyle w:val="ListParagraph"/>
        <w:numPr>
          <w:ilvl w:val="0"/>
          <w:numId w:val="2"/>
        </w:numPr>
        <w:spacing w:after="60"/>
      </w:pPr>
      <w:r>
        <w:rPr>
          <w:rFonts w:ascii="Arial" w:cs="Arial" w:eastAsia="Arial" w:hAnsi="Arial"/>
          <w:sz w:val="22"/>
          <w:szCs w:val="22"/>
        </w:rPr>
        <w:t xml:space="preserve">05_RTKL_OOR_APPEALS/ — Right-to-Know Law appeals AP-2026-0500 and AP-2026-1243</w:t>
      </w:r>
    </w:p>
    <w:p>
      <w:pPr>
        <w:pStyle w:val="ListParagraph"/>
        <w:numPr>
          <w:ilvl w:val="0"/>
          <w:numId w:val="2"/>
        </w:numPr>
        <w:spacing w:after="60"/>
      </w:pPr>
      <w:r>
        <w:rPr>
          <w:rFonts w:ascii="Arial" w:cs="Arial" w:eastAsia="Arial" w:hAnsi="Arial"/>
          <w:sz w:val="22"/>
          <w:szCs w:val="22"/>
        </w:rPr>
        <w:t xml:space="preserve">06_EDUCATION_FERPA_IDEA/ — FERPA, IDEA, Section 504, CPSL materials</w:t>
      </w:r>
    </w:p>
    <w:p>
      <w:pPr>
        <w:pStyle w:val="ListParagraph"/>
        <w:numPr>
          <w:ilvl w:val="0"/>
          <w:numId w:val="2"/>
        </w:numPr>
        <w:spacing w:after="60"/>
      </w:pPr>
      <w:r>
        <w:rPr>
          <w:rFonts w:ascii="Arial" w:cs="Arial" w:eastAsia="Arial" w:hAnsi="Arial"/>
          <w:sz w:val="22"/>
          <w:szCs w:val="22"/>
        </w:rPr>
        <w:t xml:space="preserve">07_EVIDENCE_EXHIBITS/ — additional exhibits and supporting documentation</w:t>
      </w:r>
    </w:p>
    <w:p>
      <w:pPr>
        <w:pStyle w:val="ListParagraph"/>
        <w:numPr>
          <w:ilvl w:val="0"/>
          <w:numId w:val="2"/>
        </w:numPr>
        <w:spacing w:after="60"/>
      </w:pPr>
      <w:r>
        <w:rPr>
          <w:rFonts w:ascii="Arial" w:cs="Arial" w:eastAsia="Arial" w:hAnsi="Arial"/>
          <w:sz w:val="22"/>
          <w:szCs w:val="22"/>
        </w:rPr>
        <w:t xml:space="preserve">08_POA_AUTHORITY/ — Durable Power of Attorney (July 24, 2025)</w:t>
      </w:r>
    </w:p>
    <w:p>
      <w:pPr>
        <w:pStyle w:val="ListParagraph"/>
        <w:numPr>
          <w:ilvl w:val="0"/>
          <w:numId w:val="2"/>
        </w:numPr>
        <w:spacing w:after="60"/>
      </w:pPr>
      <w:r>
        <w:rPr>
          <w:rFonts w:ascii="Arial" w:cs="Arial" w:eastAsia="Arial" w:hAnsi="Arial"/>
          <w:sz w:val="22"/>
          <w:szCs w:val="22"/>
        </w:rPr>
        <w:t xml:space="preserve">09_LEGAL_DRAFTS_FILED/ — all drafted motions, complaints, petitions</w:t>
      </w:r>
    </w:p>
    <w:p>
      <w:pPr>
        <w:pStyle w:val="ListParagraph"/>
        <w:numPr>
          <w:ilvl w:val="0"/>
          <w:numId w:val="2"/>
        </w:numPr>
        <w:spacing w:after="60"/>
      </w:pPr>
      <w:r>
        <w:rPr>
          <w:rFonts w:ascii="Arial" w:cs="Arial" w:eastAsia="Arial" w:hAnsi="Arial"/>
          <w:sz w:val="22"/>
          <w:szCs w:val="22"/>
        </w:rPr>
        <w:t xml:space="preserve">10_AMERICORPS_NCCC/ — AmeriCorps NCCC service records, certificates, ACE evaluation</w:t>
      </w:r>
    </w:p>
    <w:p>
      <w:pPr>
        <w:pStyle w:val="ListParagraph"/>
        <w:numPr>
          <w:ilvl w:val="0"/>
          <w:numId w:val="2"/>
        </w:numPr>
        <w:spacing w:after="60"/>
      </w:pPr>
      <w:r>
        <w:rPr>
          <w:rFonts w:ascii="Arial" w:cs="Arial" w:eastAsia="Arial" w:hAnsi="Arial"/>
          <w:sz w:val="22"/>
          <w:szCs w:val="22"/>
        </w:rPr>
        <w:t xml:space="preserve">CIS_LGL130_TECH_PLATFORM/ — LawLexx / Legalitize technical documentation and screenshots</w:t>
      </w:r>
    </w:p>
    <w:p>
      <w:pPr>
        <w:spacing w:after="120"/>
      </w:pPr>
    </w:p>
    <w:p>
      <w:pPr>
        <w:pStyle w:val="Heading2"/>
        <w:spacing w:after="120" w:before="280"/>
      </w:pPr>
      <w:r>
        <w:rPr>
          <w:rFonts w:ascii="Arial" w:cs="Arial" w:eastAsia="Arial" w:hAnsi="Arial"/>
          <w:b/>
          <w:bCs/>
          <w:color w:val="1A1A2E"/>
          <w:sz w:val="26"/>
          <w:szCs w:val="26"/>
        </w:rPr>
        <w:t xml:space="preserve">Petitioner Background</w:t>
      </w:r>
    </w:p>
    <w:p>
      <w:pPr>
        <w:spacing w:after="120"/>
      </w:pPr>
      <w:r>
        <w:rPr>
          <w:rFonts w:ascii="Arial" w:cs="Arial" w:eastAsia="Arial" w:hAnsi="Arial"/>
          <w:sz w:val="22"/>
          <w:szCs w:val="22"/>
        </w:rPr>
        <w:t xml:space="preserve">Alexa Shuda is a pro se litigant and authorized legal agent who has operated continuously in the Pennsylvania state and federal court systems for over five years, pursuing concurrent matters in Delaware County Court of Common Pleas, the Pennsylvania Office of Open Records, Mountain View School District (FERPA/IDEA), and in preparation of a 42 U.S.C. §1983 federal civil rights action. Prior to her legal advocacy work, she completed two full terms of AmeriCorps National Civilian Community Corps service — Atlantic Region (1,746 hours) and Pacific Region (1,883 hours), totaling 3,629 documented service hours — developing community engagement, professional conduct, and oral communication competencies across diverse national environments. She is the founder and sole developer of LawLexx / Legalitize, a production-grade legal AI SaaS platform for law firms, and founder of Shuda Enterprises, LLC (EIN 39-2133642, PA Entity #0014380433). All competencies documented in this portfolio were developed through sustained, high-stakes application of legal and professional skills in real-world contexts. All evidence is authentic, verifiable, and specific to each course claimed.</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 LGL SPECIALTY COURSES — PLA Portfolio (9 Credits / AT 9-CREDIT LGL CAP)</w:t>
      </w:r>
    </w:p>
    <w:p>
      <w:pPr>
        <w:spacing w:after="120"/>
      </w:pPr>
      <w:r>
        <w:rPr>
          <w:rFonts w:ascii="Arial" w:cs="Arial" w:eastAsia="Arial" w:hAnsi="Arial"/>
          <w:sz w:val="22"/>
          <w:szCs w:val="22"/>
        </w:rPr>
        <w:t xml:space="preserve">NOTE TO ASSESSOR: DCCC policy permits no more than nine (9) specialty credits to be awarded for Credit for Prior Learning assessment by portfolio. This section contains exactly three LGL specialty courses totaling 9 credits, exhausting the LGL specialty PLA cap. No additional LGL specialty credit is claimed anywhere in this portfolio.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130  |  Major Core — LGL Specialty  [CAP COURSE 1 OF 3]</w:t>
            </w:r>
          </w:p>
          <w:p>
            <w:r>
              <w:rPr>
                <w:rFonts w:ascii="Arial" w:cs="Arial" w:eastAsia="Arial" w:hAnsi="Arial"/>
                <w:b/>
                <w:bCs/>
                <w:color w:val="FFFFFF"/>
                <w:sz w:val="28"/>
                <w:szCs w:val="28"/>
              </w:rPr>
              <w:t xml:space="preserve">Technology in the Law</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Covers technology applications in legal practice: legal software, document management, electronic research, database systems, court filing systems, and emerging technology in law. Satisfies both the major Technology in the Law requirement and the General Education Information Technology (TC)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is the sole architect and developer of LawLexx / Legalitize — a production-grade, full-stack legal AI SaaS platform engineered specifically for law firms. Her technical competency in legal technology exceeds the scope of an introductory course and extends into professional-grade system architecture, legal database design, AI-assisted document drafting, court system integration, and legal analytics.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LawLexx CLAUDE.md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Full developer specification — Next.js 14, FastAPI, PostgreSQL, Anthropic Claude API, JWT auth, 251+ endpoints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COMPLETE_BUILD_STATUS.md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All modules operational: matter management, document drafting, billing, calendar, RTKL/FERPA, RAG, streaming AI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COMPLETE_DEPLOYMENT_GUIDE.md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Production deployment: Docker, Cloudflare Workers, Vercel, environment configuration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ADVANCED_LEGAL_ANALYTICS.md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AI analytics module — ML/AI integration into legal practice management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Application Screenshots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Live UI screenshots — login, dashboard, matter management demonstrating deployed production system</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LGL 130 addresses technology in legal practice. Alexa Shuda's evidence is professional-level development of legal technology systems from the ground up — not merely using legal technology tools.</w:t>
      </w:r>
    </w:p>
    <w:p>
      <w:pPr>
        <w:spacing w:after="120"/>
      </w:pPr>
      <w:r>
        <w:rPr>
          <w:rFonts w:ascii="Arial" w:cs="Arial" w:eastAsia="Arial" w:hAnsi="Arial"/>
          <w:sz w:val="22"/>
          <w:szCs w:val="22"/>
        </w:rPr>
        <w:t xml:space="preserve">LawLexx is a functioning legal AI platform with over 251 documented API endpoints, a full-stack architecture (Next.js 14 frontend, FastAPI backend, PostgreSQL database, Anthropic Claude API integration), and features mapping directly to every LGL 130 topic: document management (automated pleading generation via ReportLab PDF service), electronic legal research (CourtListener API for case law, GovInfo API for federal statutes), matter management (SQLAlchemy ORM models), and billing (Stripe integration).</w:t>
      </w:r>
    </w:p>
    <w:p>
      <w:pPr>
        <w:spacing w:after="120"/>
      </w:pPr>
      <w:r>
        <w:rPr>
          <w:rFonts w:ascii="Arial" w:cs="Arial" w:eastAsia="Arial" w:hAnsi="Arial"/>
          <w:sz w:val="22"/>
          <w:szCs w:val="22"/>
        </w:rPr>
        <w:t xml:space="preserve">The AI-assisted document drafting module demonstrates mastery of emerging legal technology at the frontier of the profession — retrieval-augmented generation (RAG) with Anthropic Claude API for legal document drafting. Her streaming AI chat endpoint, RTKL/FERPA compliance module, and legal analytics dashboard represent applied expertise that LGL 130 is designed to introduce at a survey level.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210  |  Major Core — LGL Specialty  [CAP COURSE 2 OF 3]</w:t>
            </w:r>
          </w:p>
          <w:p>
            <w:r>
              <w:rPr>
                <w:rFonts w:ascii="Arial" w:cs="Arial" w:eastAsia="Arial" w:hAnsi="Arial"/>
                <w:b/>
                <w:bCs/>
                <w:color w:val="FFFFFF"/>
                <w:sz w:val="28"/>
                <w:szCs w:val="28"/>
              </w:rPr>
              <w:t xml:space="preserve">Civil Litigation &amp; Tort Principles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Overview of civil litigation procedure in Pennsylvania and federal courts, including pleading, service of process, discovery, motions practice, and trial. Introduction to tort law: negligence, intentional torts, strict liability, and damages.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directly participated in civil litigation proceedings across multiple courts and jurisdictions — demonstrating thorough knowledge of civil procedure and tort principles through active pro se practice in Delaware County Court of Common Pleas and preparation of a federal 42 U.S.C. §1983 civil rights action.</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Delaware County CCP No. 2016-5628</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Active civil litigation — pleadings, motions, orders, contempt proceedings; full civil litigation lifecycle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Complaint Draft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civil rights complaint — 4th and 14th Amendment torts; constitutional tort doctrine; Monell theory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Filings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Administrative civil proceeding — pleading, exhibits, legal argument before adjudicative body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Service Documentation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Knowledge of service of process requirements in Pennsylvania civil proceedings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Motion Practice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Filed and analyzed motions in CCP matter; knowledge of pre-trial motion procedure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Delaware County CCP No. 2016-5628 has been an active civil litigation matter for over nine years. Through direct participation as a pro se litigant and authorized agent, Alexa Shuda has acquired working knowledge of every stage of the civil litigation process: pleading requirements under Pennsylvania Rules of Civil Procedure, service of process standards, motions practice, contempt enforcement procedure, and the structure of appellate review.</w:t>
      </w:r>
    </w:p>
    <w:p>
      <w:pPr>
        <w:spacing w:after="120"/>
      </w:pPr>
      <w:r>
        <w:rPr>
          <w:rFonts w:ascii="Arial" w:cs="Arial" w:eastAsia="Arial" w:hAnsi="Arial"/>
          <w:sz w:val="22"/>
          <w:szCs w:val="22"/>
        </w:rPr>
        <w:t xml:space="preserve">Her §1983 complaint work required deep engagement with federal civil procedure and constitutional tort doctrine. Constitutional torts under §1983 — Fourth Amendment unreasonable seizure, Fourteenth Amendment due process — are intentional torts committed by state actors under color of law. Her analysis demonstrates mastery of the intentional tort framework (duty, breach, causation, damages) applied in the constitutional context.</w:t>
      </w:r>
    </w:p>
    <w:p>
      <w:pPr>
        <w:spacing w:after="120"/>
      </w:pPr>
      <w:r>
        <w:rPr>
          <w:rFonts w:ascii="Arial" w:cs="Arial" w:eastAsia="Arial" w:hAnsi="Arial"/>
          <w:sz w:val="22"/>
          <w:szCs w:val="22"/>
        </w:rPr>
        <w:t xml:space="preserve">Her Monell research demonstrates understanding of municipal liability as a form of respondeat superior doctrine — a tort principle within LGL 210's scope. Her RTKL/OOR proceedings further demonstrate civil procedure in the administrative context at every stage from initial filing through final adjudication.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211  |  Major Core — LGL Specialty  [CAP COURSE 3 OF 3 — AT 9-CREDIT LGL PLA LIMIT]</w:t>
            </w:r>
          </w:p>
          <w:p>
            <w:r>
              <w:rPr>
                <w:rFonts w:ascii="Arial" w:cs="Arial" w:eastAsia="Arial" w:hAnsi="Arial"/>
                <w:b/>
                <w:bCs/>
                <w:color w:val="FFFFFF"/>
                <w:sz w:val="28"/>
                <w:szCs w:val="28"/>
              </w:rPr>
              <w:t xml:space="preserve">Civil Litigation &amp; Tort Applications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Application of civil litigation principles through simulation and case analysis. Students prepare pleadings, discovery requests, motions, and briefs; analyze tort cases; and develop litigation support skills. Emphasis on practical paralegal function in the civil litigation context.</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performed the full range of paralegal litigation support functions in active civil proceedings — not in simulation, but in real cases with actual legal consequences. She has organized evidence, drafted and filed pleadings, assembled exhibit binders, tracked court deadlines, and applied fact analysis to legal theories across multiple concurrent matters.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Exhibit A-R Assembly (OOR)</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Assembled, indexed, and cited 18 exhibits for OOR appeal briefs — demonstrates paralegal evidence organization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Withheld Visitation Log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Chronological documentation of 23+ withheld parenting time weekends — litigation support fact chronology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03_CONTEMPT_EVIDENCE/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MASTER_EVIDENCE_INDEX.md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Master indexed catalog of all evidence across 1.2GB+ of materials — litigation file management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Evidence Organization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IA records, call transcript, General Order 2.3.1, Dilks affidavit — assembled for federal complaint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Custody Timeline Documentation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Chronological analysis of relocation violation evidence — key dates, supporting records, legal significance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02_RELOCATION_VIOLATION/</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LGL 211 is the applied companion to LGL 210 — developing paralegal litigation support skills: document management, evidence organization, pleading preparation, discovery support, and case chronology development. Alexa Shuda has performed each of these functions in live litigation.</w:t>
      </w:r>
    </w:p>
    <w:p>
      <w:pPr>
        <w:spacing w:after="120"/>
      </w:pPr>
      <w:r>
        <w:rPr>
          <w:rFonts w:ascii="Arial" w:cs="Arial" w:eastAsia="Arial" w:hAnsi="Arial"/>
          <w:sz w:val="22"/>
          <w:szCs w:val="22"/>
        </w:rPr>
        <w:t xml:space="preserve">Her assembly of Exhibits A through R for the OOR appeals is a textbook example of paralegal evidence organization: each exhibit was identified, labeled, cited in the brief with the appropriate exhibit designator, and compiled for presentation to an administrative adjudicator.</w:t>
      </w:r>
    </w:p>
    <w:p>
      <w:pPr>
        <w:spacing w:after="120"/>
      </w:pPr>
      <w:r>
        <w:rPr>
          <w:rFonts w:ascii="Arial" w:cs="Arial" w:eastAsia="Arial" w:hAnsi="Arial"/>
          <w:sz w:val="22"/>
          <w:szCs w:val="22"/>
        </w:rPr>
        <w:t xml:space="preserve">The MASTER_EVIDENCE_INDEX.md — a cross-referenced index of over 1.2 gigabytes of evidence across twelve subject-matter folders — demonstrates the document management skills LGL 211 trains. Her §1983 evidence mapping — connecting each piece of documentary evidence to specific legal elements of the civil rights claim — is applied litigation support at a professional level.</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II: ADJ COURSES — PLA Portfolio (9 Credits / toward 36-Credit Combined Cap)</w:t>
      </w:r>
    </w:p>
    <w:p>
      <w:pPr>
        <w:spacing w:after="120"/>
      </w:pPr>
      <w:r>
        <w:rPr>
          <w:rFonts w:ascii="Arial" w:cs="Arial" w:eastAsia="Arial" w:hAnsi="Arial"/>
          <w:sz w:val="22"/>
          <w:szCs w:val="22"/>
        </w:rPr>
        <w:t xml:space="preserve">ADJ-coded courses are not LGL specialty credits and are not subject to the 9-credit LGL specialty PLA cap. These 9 credits count toward the 36-credit combined nontraditional credit cap only. ADJ 241 additionally satisfies the General Education Diversity &amp; Justice (DJ) attribute.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241  |  Concentration: Law &amp; Criminal Justice  +  Gen Ed (DJ)</w:t>
            </w:r>
          </w:p>
          <w:p>
            <w:r>
              <w:rPr>
                <w:rFonts w:ascii="Arial" w:cs="Arial" w:eastAsia="Arial" w:hAnsi="Arial"/>
                <w:b/>
                <w:bCs/>
                <w:color w:val="FFFFFF"/>
                <w:sz w:val="28"/>
                <w:szCs w:val="28"/>
              </w:rPr>
              <w:t xml:space="preserve">Criminal Justice and Diversity</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Examines the intersection of race, class, gender, disability, and other social categories with the criminal justice system. Addresses systemic inequities, civil rights, community-police relations, and reform. Satisfies the Diversity &amp; Justice (DJ) General Education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Shuda's civil rights advocacy work demonstrates direct, lived engagement with the subject matter of ADJ 241 — the intersection of law enforcement power and individual rights, the accountability gap between official policy and practice, and the structural dimensions of civil rights violations by municipal actors.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Municipal Accountability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 into Monell liability doctrine as a mechanism for systemic police accountability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RTKL / Transparency Advocacy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Enforcement of Right-to-Know Law against law enforcement agency — public accountability as a justice mechanism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IDEA / Section 504 Advocacy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Education rights for children with disabilities — disability justice principles and enforcement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AmeriCorps NCCC Service Record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3,629 hours of community service across Atlantic and Pacific programs — direct engagement with systemic equity issues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10_AMERICORPS_NCCC/</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Parental Rights Advocacy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Advocacy for parental rights and children's rights in custody and education — access and equity in judicial systems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Her §1983 action addresses the accountability gap between official policy (HPD General Order 2.3.1 governing Internal Affairs) and actual practice (failure to conduct a proper investigation). The Monell doctrine is a legal accountability mechanism designed to address systemic misconduct — requiring proof that a constitutional violation results from official policy or custom. Her engagement with this doctrine demonstrates understanding of systemic accountability in law enforcement at the level ADJ 241 addresses.</w:t>
      </w:r>
    </w:p>
    <w:p>
      <w:pPr>
        <w:spacing w:after="120"/>
      </w:pPr>
      <w:r>
        <w:rPr>
          <w:rFonts w:ascii="Arial" w:cs="Arial" w:eastAsia="Arial" w:hAnsi="Arial"/>
          <w:sz w:val="22"/>
          <w:szCs w:val="22"/>
        </w:rPr>
        <w:t xml:space="preserve">Her RTKL enforcement work addresses a structural justice issue: the public's right of access to government records, and the accountability mechanisms that exist when agencies improperly withhold them. Two OOR appeals filed against a law enforcement agency directly implicate the community-police accountability themes central to ADJ 241.</w:t>
      </w:r>
    </w:p>
    <w:p>
      <w:pPr>
        <w:spacing w:after="120"/>
      </w:pPr>
      <w:r>
        <w:rPr>
          <w:rFonts w:ascii="Arial" w:cs="Arial" w:eastAsia="Arial" w:hAnsi="Arial"/>
          <w:sz w:val="22"/>
          <w:szCs w:val="22"/>
        </w:rPr>
        <w:t xml:space="preserve">Her AmeriCorps NCCC service — 3,629 hours across Atlantic and Pacific programs — involved direct community engagement addressing systemic inequity at the community level. Her advocacy for her children's rights under IDEA and Section 504 demonstrates engagement with disability justice in education: the rights of students with disabilities to appropriate services, procedural protections, and the obligations of school districts that frequently go unenforced without active parent advocacy.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101  |  Concentration: Law &amp; Criminal Justice</w:t>
            </w:r>
          </w:p>
          <w:p>
            <w:r>
              <w:rPr>
                <w:rFonts w:ascii="Arial" w:cs="Arial" w:eastAsia="Arial" w:hAnsi="Arial"/>
                <w:b/>
                <w:bCs/>
                <w:color w:val="FFFFFF"/>
                <w:sz w:val="28"/>
                <w:szCs w:val="28"/>
              </w:rPr>
              <w:t xml:space="preserve">Introduction to Criminal Justice</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Survey of the American criminal justice system: law enforcement, courts, and corrections. History, structure, and function of the system; criminal law foundations; civil rights and due process in the criminal context.</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Shuda's criminal justice competency derives from direct engagement with the criminal justice system as a researcher and civil rights advocate — including preparation of a 42 U.S.C. §1983 civil rights action against a municipal police department, RTKL requests for law enforcement records, and research into police policy, procedure, and accountability.</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Hatboro PD IA Records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RTKL requests and OOR appeals for IA investigation records — knowledge of law enforcement accountability systems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HPD General Order 2.3.1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Police department general order governing Internal Affairs procedure — knowledge of law enforcement policy structure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Det. Woods Call Transcript</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July 22, 2025 call transcript — police-civilian interaction protocols and constitutional rights in practice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System Analysis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Law enforcement's role in the constitutional system; Fourth Amendment limits; Monell accountability framework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AmeriCorps NCCC Service Record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3,629 hours of community service — community-law enforcement relationships, civic systems, community accountability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10_AMERICORPS_NCCC/</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ADJ 101 surveys the three components of the American criminal justice system: law enforcement, courts, and corrections. Alexa Shuda's engagement has been concentrated at the law enforcement accountability level — examining how police departments operate, what rules govern their conduct, and what legal remedies exist when those rules are violated.</w:t>
      </w:r>
    </w:p>
    <w:p>
      <w:pPr>
        <w:spacing w:after="120"/>
      </w:pPr>
      <w:r>
        <w:rPr>
          <w:rFonts w:ascii="Arial" w:cs="Arial" w:eastAsia="Arial" w:hAnsi="Arial"/>
          <w:sz w:val="22"/>
          <w:szCs w:val="22"/>
        </w:rPr>
        <w:t xml:space="preserve">Her RTKL requests for Hatboro Police Department Internal Affairs records, and subsequent OOR appeals when those records were wrongfully withheld, demonstrate knowledge of the law enforcement accountability framework ADJ 101 addresses: how Internal Affairs investigations function (HPD General Order 2.3.1), what records are created, what disclosure obligations exist, and how to pursue enforcement when those obligations are not met.</w:t>
      </w:r>
    </w:p>
    <w:p>
      <w:pPr>
        <w:spacing w:after="120"/>
      </w:pPr>
      <w:r>
        <w:rPr>
          <w:rFonts w:ascii="Arial" w:cs="Arial" w:eastAsia="Arial" w:hAnsi="Arial"/>
          <w:sz w:val="22"/>
          <w:szCs w:val="22"/>
        </w:rPr>
        <w:t xml:space="preserve">Her §1983 research required understanding of the constitutional framework governing law enforcement: the Fourth Amendment's prohibition on unreasonable seizures, qualified immunity standards, Monell municipal liability, and the federal court as the forum for vindicating constitutional rights against state actors. Her AmeriCorps NCCC service developed community-level understanding of the relationship between law enforcement institutions and the communities they 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225  |  Concentration: Law &amp; Criminal Justice</w:t>
            </w:r>
          </w:p>
          <w:p>
            <w:r>
              <w:rPr>
                <w:rFonts w:ascii="Arial" w:cs="Arial" w:eastAsia="Arial" w:hAnsi="Arial"/>
                <w:b/>
                <w:bCs/>
                <w:color w:val="FFFFFF"/>
                <w:sz w:val="28"/>
                <w:szCs w:val="28"/>
              </w:rPr>
              <w:t xml:space="preserve">Ethics in Criminal Justice</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Examination of ethical issues confronting criminal justice professionals. Topics include ethical frameworks (consequentialism, deontology, virtue ethics), professional codes of conduct in law enforcement and courts, discretionary decision-making, due process as an ethical obligation, prosecutorial ethics, and accountability mechanisms in law enforcement, corrections, and the courts.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engaged directly with the ethical failures and accountability obligations of criminal justice actors through her preparation of a 42 U.S.C. §1983 federal civil rights action, her Right-to-Know Law enforcement proceedings against a law enforcement agency, and her sustained analysis of police professional conduct standards. Her work demonstrates applied knowledge of the ethical frameworks ADJ 225 addresses, through concrete documentation of where those standards were not met and what legal consequences follow.</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HPD General Order 2.3.1</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Hatboro PD Internal Affairs procedure — professional ethical code governing police conduct and accountability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Complaint Research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Analysis of how ethical failures by law enforcement translate into actionable civil rights violations under federal law</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Appeals — Transparency Ethics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Right-to-Know Law enforcement — government ethical obligation of transparency and accountability to the public</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Durable POA — Scope Limitation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POA voluntarily limited to civil and family matters — applied deontological ethics of professional conduct boundaries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AmeriCorps NCCC Service Record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3,629 hours of community service — professional conduct standards, civic ethics, accountability to community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10_AMERICORPS_NCCC/</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ADJ 225 examines ethics as applied to criminal justice practice: the professional standards that govern police officers, prosecutors, and correctional officers; the ethical frameworks used to evaluate discretionary decisions; and the accountability mechanisms triggered when those standards are violated. Alexa Shuda has engaged with this subject matter from the accountability side — documenting specific instances where professional ethical standards were not met and pursuing legal remedies.</w:t>
      </w:r>
    </w:p>
    <w:p>
      <w:pPr>
        <w:spacing w:after="120"/>
      </w:pPr>
      <w:r>
        <w:rPr>
          <w:rFonts w:ascii="Arial" w:cs="Arial" w:eastAsia="Arial" w:hAnsi="Arial"/>
          <w:sz w:val="22"/>
          <w:szCs w:val="22"/>
        </w:rPr>
        <w:t xml:space="preserve">HPD General Order 2.3.1 is itself an ethics document: a formalized professional code governing how Internal Affairs investigations are to be conducted. Her analysis of that order — comparing its requirements against actual conduct — is applied ethics analysis of the kind ADJ 225 trains. The Monell doctrine requires proof that a constitutional violation results from official policy or custom, not individual deviation; this distinction maps directly to the ADJ 225 framework distinguishing systemic ethical failures from individual misconduct.</w:t>
      </w:r>
    </w:p>
    <w:p>
      <w:pPr>
        <w:spacing w:after="120"/>
      </w:pPr>
      <w:r>
        <w:rPr>
          <w:rFonts w:ascii="Arial" w:cs="Arial" w:eastAsia="Arial" w:hAnsi="Arial"/>
          <w:sz w:val="22"/>
          <w:szCs w:val="22"/>
        </w:rPr>
        <w:t xml:space="preserve">Her Durable Power of Attorney, voluntarily limited to civil and family matters only, demonstrates the deontological ethical reasoning ADJ 225 addresses: identifying the permissible scope of one's authority, drawing a principled line, and adhering to it even when the facts might seem to support broader action. This is rule-based ethics applied under real adversarial pressure — a core ADJ 225 competency.</w:t>
      </w:r>
    </w:p>
    <w:p>
      <w:pPr>
        <w:spacing w:after="120"/>
      </w:pPr>
      <w:r>
        <w:rPr>
          <w:rFonts w:ascii="Arial" w:cs="Arial" w:eastAsia="Arial" w:hAnsi="Arial"/>
          <w:sz w:val="22"/>
          <w:szCs w:val="22"/>
        </w:rPr>
        <w:t xml:space="preserve">Her AmeriCorps NCCC service — 3,629 hours across Atlantic and Pacific programs — required sustained adherence to professional conduct standards in diverse community environments. Community service programs operate within explicit codes of professional ethics; her completion of two full terms demonstrates the internalization of those standards in practice.</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III: GENERAL EDUCATION COURSES — PLA Portfolio (12 Credits / toward 36-Credit Combined Cap)</w:t>
      </w:r>
    </w:p>
    <w:p>
      <w:pPr>
        <w:spacing w:after="120"/>
      </w:pPr>
      <w:r>
        <w:rPr>
          <w:rFonts w:ascii="Arial" w:cs="Arial" w:eastAsia="Arial" w:hAnsi="Arial"/>
          <w:sz w:val="22"/>
          <w:szCs w:val="22"/>
        </w:rPr>
        <w:t xml:space="preserve">General education courses are not LGL specialty credits. These 12 credits count toward the 36-credit combined nontraditional credit cap only. Evidence for general education competencies is drawn from the petitioner's sustained professional writing practice, oral advocacy, community service, and philosophical-ethical reasoning demonstrated across all subject areas of this portfolio.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ENG 100  |  General Education — English / Communication</w:t>
            </w:r>
          </w:p>
          <w:p>
            <w:r>
              <w:rPr>
                <w:rFonts w:ascii="Arial" w:cs="Arial" w:eastAsia="Arial" w:hAnsi="Arial"/>
                <w:b/>
                <w:bCs/>
                <w:color w:val="FFFFFF"/>
                <w:sz w:val="28"/>
                <w:szCs w:val="28"/>
              </w:rPr>
              <w:t xml:space="preserve">English Composition I</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Development of college-level writing skills: organization, clarity, grammar, sentence structure, paragraph development, and essay form. Emphasis on expository writing with attention to audience and purpose. Students produce essays demonstrating competency in written communication across a range of subjects.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produced sustained, organized, audience-appropriate expository writing across nine years of active pro se legal practice and administrative advocacy. Her filings, correspondence, and formal requests — all produced without attorney assistance — demonstrate college-level written communication competency at or significantly above the standard ENG 100 establishes.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Pro Se Court Filings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9+ years of organized, purposeful writing for judicial and administrative audiences — motions, petitions, applications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Appeal Briefs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Formal structured writing for administrative adjudicative body — AP-2026-0500 and AP-2026-1243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RTKL Formal Requests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Formal written correspondence citing statutory authority — demonstrates audience-appropriate professional writing</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FERPA/IDEA Enforcement Letters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Formal written communications to school district administrators and agency personnel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PLA Portfolio</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This submission — college-level organized expository writing for an academic evaluative audience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English Composition I develops the foundational college-level writing skills: identifying a purpose, organizing ideas logically, constructing clear sentences and paragraphs, and writing for a specific audience. Alexa Shuda has applied these skills continuously and at high volume in pro se legal proceedings.</w:t>
      </w:r>
    </w:p>
    <w:p>
      <w:pPr>
        <w:spacing w:after="120"/>
      </w:pPr>
      <w:r>
        <w:rPr>
          <w:rFonts w:ascii="Arial" w:cs="Arial" w:eastAsia="Arial" w:hAnsi="Arial"/>
          <w:sz w:val="22"/>
          <w:szCs w:val="22"/>
        </w:rPr>
        <w:t xml:space="preserve">Legal writing is, at its core, expository writing: presenting facts, making arguments, and communicating clearly to a defined reader. Her pro se court filings — produced entirely without attorney assistance — demonstrate organization, clarity, and audience-awareness at a level that exceeds ENG 100's introductory standard.</w:t>
      </w:r>
    </w:p>
    <w:p>
      <w:pPr>
        <w:spacing w:after="120"/>
      </w:pPr>
      <w:r>
        <w:rPr>
          <w:rFonts w:ascii="Arial" w:cs="Arial" w:eastAsia="Arial" w:hAnsi="Arial"/>
          <w:sz w:val="22"/>
          <w:szCs w:val="22"/>
        </w:rPr>
        <w:t xml:space="preserve">Her RTKL formal requests demonstrate the specific ENG 100 competency of audience-appropriate writing: each request is calibrated to its recipient, uses appropriate register, clearly states its purpose and legal basis, and anticipates the reader's informational needs. The competencies ENG 100 measures are uniformly demonstrated across her entire body of written 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ENG 112  |  General Education — English / Communication</w:t>
            </w:r>
          </w:p>
          <w:p>
            <w:r>
              <w:rPr>
                <w:rFonts w:ascii="Arial" w:cs="Arial" w:eastAsia="Arial" w:hAnsi="Arial"/>
                <w:b/>
                <w:bCs/>
                <w:color w:val="FFFFFF"/>
                <w:sz w:val="28"/>
                <w:szCs w:val="28"/>
              </w:rPr>
              <w:t xml:space="preserve">English Composition II</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Advanced composition with emphasis on research-based writing: source evaluation, documentation, argumentation, and extended analysis. Students locate, evaluate, and integrate primary and secondary sources into sustained written arguments using standard citation format. Develops skills in thesis development, evidence integration, counterargument, and revision.</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produced substantial research-based writing in the form of legal briefs, appeals, complaint drafts, and regulatory enforcement correspondence — each requiring source identification, evaluation, citation, and integration into sustained written arguments. Her legal research writing is the precise genre ENG 112 develops, executed at professional standard across multiple high-stakes proceedings.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Brief AP-2026-0500</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Sustained research argument — statutory citations, case law integration, organized argument with specific relief requested</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Appeal Brief AP-2026-1243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Second research brief — distinct legal theories, additional sources, extended argumentation demonstrating revision and development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Complaint Draft</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Research-based federal pleading — case law integration (Monell, Troxel v. Granville), constitutional analysis, sustained factual argument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FERPA/IDEA Research Correspondence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regulatory research writing — CFR citation, statutory analysis, formal argument to school district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LawLexx Technical Documentation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Research-based technical writing — build status, analytics, deployment guides with integrated source material</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English Composition II builds foundational writing into research-based argumentation: the ability to identify a thesis, locate and evaluate supporting sources, integrate those sources through citation and analysis, anticipate counterarguments, and produce a sustained written argument for a specific audience.</w:t>
      </w:r>
    </w:p>
    <w:p>
      <w:pPr>
        <w:spacing w:after="120"/>
      </w:pPr>
      <w:r>
        <w:rPr>
          <w:rFonts w:ascii="Arial" w:cs="Arial" w:eastAsia="Arial" w:hAnsi="Arial"/>
          <w:sz w:val="22"/>
          <w:szCs w:val="22"/>
        </w:rPr>
        <w:t xml:space="preserve">Her OOR appeal briefs are paradigmatic ENG 112 documents: they identify a thesis (the agency wrongfully withheld records in violation of 65 P.S. §§67.101 et seq.), marshal primary sources (the RTKL statute, OOR regulations, case law), integrate those sources through quotation and analysis, and present a sustained argument to an administrative adjudicator. These briefs were submitted in actual proceedings with real legal consequences — a standard far above classroom simulation.</w:t>
      </w:r>
    </w:p>
    <w:p>
      <w:pPr>
        <w:spacing w:after="120"/>
      </w:pPr>
      <w:r>
        <w:rPr>
          <w:rFonts w:ascii="Arial" w:cs="Arial" w:eastAsia="Arial" w:hAnsi="Arial"/>
          <w:sz w:val="22"/>
          <w:szCs w:val="22"/>
        </w:rPr>
        <w:t xml:space="preserve">Her §1983 complaint research required the most demanding form of research writing: connecting specific facts to specific legal elements, sourcing constitutional doctrine from case law (Monell v. Department of Social Services, Troxel v. Granville), articulating how each source supports each element of the claim, and organizing the whole into a coherent persuasive document. The Bluebook citation standard her legal work applies is more rigorous than MLA or APA.</w:t>
      </w:r>
    </w:p>
    <w:p>
      <w:pPr>
        <w:spacing w:after="120"/>
      </w:pPr>
      <w:r>
        <w:rPr>
          <w:rFonts w:ascii="Arial" w:cs="Arial" w:eastAsia="Arial" w:hAnsi="Arial"/>
          <w:sz w:val="22"/>
          <w:szCs w:val="22"/>
        </w:rPr>
        <w:t xml:space="preserve">Her LawLexx technical documentation demonstrates research-based technical writing: the deployment guides, build status documents, and analytics specifications integrate technical sources, anticipate a professional reader's informational needs, and present complex information in organized, navigable form.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SPC 101  |  General Education — Communication</w:t>
            </w:r>
          </w:p>
          <w:p>
            <w:r>
              <w:rPr>
                <w:rFonts w:ascii="Arial" w:cs="Arial" w:eastAsia="Arial" w:hAnsi="Arial"/>
                <w:b/>
                <w:bCs/>
                <w:color w:val="FFFFFF"/>
                <w:sz w:val="28"/>
                <w:szCs w:val="28"/>
              </w:rPr>
              <w:t xml:space="preserve">Oral Communication</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Principles of effective oral communication: public speaking fundamentals, informative and persuasive presentation, listening skills, non-verbal communication, and interpersonal communication in professional and public contexts. Students deliver prepared and extemporaneous presentations.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engaged in sustained professional oral communication across three distinct high-stakes contexts: pro se court appearances requiring prepared oral advocacy before judicial officers, professional communications as a Durable POA agent across agencies and institutions, and 3,629 hours of AmeriCorps NCCC community service requiring team briefings, community engagement, and professional conduct across diverse audiences.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AmeriCorps NCCC Service Record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3,629 hours across Atlantic and Pacific programs — team briefings, community presentations, professional engagement in diverse environments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10_AMERICORPS_NCCC/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Pro Se Court Appearances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Oral argument before Delaware County CCP judicial officers — persuasive oral advocacy in the most demanding public speaking context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Authorized Agent Communications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Professional oral communication with courts, agencies, and school district personnel as Durable POA agent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Det. Woods Call Transcript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Documented professional oral communication under adversarial conditions — July 22, 2025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Hearing Participation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Administrative hearing oral argument — informative and persuasive oral presentation to adjudicative body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Oral Communication requires students to develop skills in prepared and extemporaneous speaking, persuasive and informative presentation, and professional communication across contexts. Alexa Shuda has deployed each of these communication modes in real, high-stakes settings across multiple years.</w:t>
      </w:r>
    </w:p>
    <w:p>
      <w:pPr>
        <w:spacing w:after="120"/>
      </w:pPr>
      <w:r>
        <w:rPr>
          <w:rFonts w:ascii="Arial" w:cs="Arial" w:eastAsia="Arial" w:hAnsi="Arial"/>
          <w:sz w:val="22"/>
          <w:szCs w:val="22"/>
        </w:rPr>
        <w:t xml:space="preserve">Pro se court appearances require the most demanding form of oral communication: prepared oral argument before a judicial officer, responsive extemporaneous argument to judicial questions, and the discipline to present complex factual and legal material in an organized, persuasive manner under time constraints and adversarial pressure. This is public speaking at its most consequential — significantly above the standard SPC 101 develops in classroom simulation.</w:t>
      </w:r>
    </w:p>
    <w:p>
      <w:pPr>
        <w:spacing w:after="120"/>
      </w:pPr>
      <w:r>
        <w:rPr>
          <w:rFonts w:ascii="Arial" w:cs="Arial" w:eastAsia="Arial" w:hAnsi="Arial"/>
          <w:sz w:val="22"/>
          <w:szCs w:val="22"/>
        </w:rPr>
        <w:t xml:space="preserve">Her AmeriCorps NCCC service is the most direct evidence for SPC 101 competencies. Two terms of community service — 3,629 total hours across Atlantic and Pacific programs — required sustained professional oral communication in diverse team environments: daily briefings, project presentations, community outreach, and inter-team coordination. AmeriCorps NCCC operates with explicit professional conduct standards; her successful completion of two full terms demonstrates sustained professional oral communication competency across varied audiences and contexts.</w:t>
      </w:r>
    </w:p>
    <w:p>
      <w:pPr>
        <w:spacing w:after="120"/>
      </w:pPr>
      <w:r>
        <w:rPr>
          <w:rFonts w:ascii="Arial" w:cs="Arial" w:eastAsia="Arial" w:hAnsi="Arial"/>
          <w:sz w:val="22"/>
          <w:szCs w:val="22"/>
        </w:rPr>
        <w:t xml:space="preserve">Her documented communications as an authorized POA agent — with courts, agencies, school districts, and opposing parties — demonstrate the interpersonal professional communication competency SPC 101 develops. Navigating adversarial oral communication in legal and administrative contexts, while maintaining accuracy and professionalism, reflects the practical oral communication skills the course is designed to build.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PHI 100  |  General Education — Humanities / Ethics</w:t>
            </w:r>
          </w:p>
          <w:p>
            <w:r>
              <w:rPr>
                <w:rFonts w:ascii="Arial" w:cs="Arial" w:eastAsia="Arial" w:hAnsi="Arial"/>
                <w:b/>
                <w:bCs/>
                <w:color w:val="FFFFFF"/>
                <w:sz w:val="28"/>
                <w:szCs w:val="28"/>
              </w:rPr>
              <w:t xml:space="preserve">Introduction to Philosophy</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Survey of major philosophical traditions and ethical frameworks: consequentialism, deontological ethics, virtue ethics, social contract theory, and applied ethics. Students examine philosophical arguments, apply ethical reasoning to real-world issues, and engage with questions of justice, obligation, rights, and the good.</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engaged with philosophical-ethical frameworks not as academic abstractions but as practical tools applied to live civil rights advocacy, professional conduct decisions, and community service work. Her sustained engagement with questions of justice, rights, due process, and civic obligation demonstrates the applied philosophical reasoning PHI 100 develops.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Civil Rights Research</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Applied ethical frameworks — justice, due process, government accountability as philosophical-ethical foundations of civil rights law</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Durable POA — UPL Ethics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Voluntary scope limitation — deontological ethics of professional conduct boundaries applied under real-world pressure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IDEA / Section 504 Advocacy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Disability justice, children's rights, civic obligation — applied virtue ethics and social contract theory in education context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AmeriCorps NCCC Service Record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Civic virtue, social contract, community responsibility — 3,629 hours of applied service ethics across two terms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10_AMERICORPS_NCCC/</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Transparency Advocacy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Government accountability as a philosophical principle — right-to-know as an expression of democratic justice and civic rights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Philosophy as a discipline asks foundational questions about justice, rights, obligation, and the proper limits of power. Alexa Shuda has not studied these questions abstractly — she has applied them operationally. Her civil rights work under 42 U.S.C. §1983 requires engaging with the philosophical foundations of constitutional rights: why government actors are bound by due process obligations, what justice requires when those obligations are violated, and what remedies are philosophically warranted.</w:t>
      </w:r>
    </w:p>
    <w:p>
      <w:pPr>
        <w:spacing w:after="120"/>
      </w:pPr>
      <w:r>
        <w:rPr>
          <w:rFonts w:ascii="Arial" w:cs="Arial" w:eastAsia="Arial" w:hAnsi="Arial"/>
          <w:sz w:val="22"/>
          <w:szCs w:val="22"/>
        </w:rPr>
        <w:t xml:space="preserve">The deontological ethics tradition — the view that certain rules are binding regardless of consequences — is directly demonstrated in her POA scope decision. She holds a Durable Power of Attorney that she has voluntarily limited to civil and family matters only. This is rule-based ethical reasoning applied under adversarial pressure: the line is principled, not consequentialist.</w:t>
      </w:r>
    </w:p>
    <w:p>
      <w:pPr>
        <w:spacing w:after="120"/>
      </w:pPr>
      <w:r>
        <w:rPr>
          <w:rFonts w:ascii="Arial" w:cs="Arial" w:eastAsia="Arial" w:hAnsi="Arial"/>
          <w:sz w:val="22"/>
          <w:szCs w:val="22"/>
        </w:rPr>
        <w:t xml:space="preserve">Social contract theory, a PHI 100 core topic, underlies her transparency advocacy: the RTKL embodies the philosophical principle that citizens have a right to know what their government is doing. Her two OOR appeals against a law enforcement agency's refusal to disclose records are a direct application of social contract accountability principles.</w:t>
      </w:r>
    </w:p>
    <w:p>
      <w:pPr>
        <w:spacing w:after="120"/>
      </w:pPr>
      <w:r>
        <w:rPr>
          <w:rFonts w:ascii="Arial" w:cs="Arial" w:eastAsia="Arial" w:hAnsi="Arial"/>
          <w:sz w:val="22"/>
          <w:szCs w:val="22"/>
        </w:rPr>
        <w:t xml:space="preserve">Her AmeriCorps NCCC service is applied civic virtue ethics: the Aristotelian tradition that a good person is one who contributes to community flourishing. Two full terms of community service — 3,629 hours — represent sustained commitment to civic obligation as a lived philosophical value, addressing PHI 100's applied ethics dimension as directly as any classroom exercise.</w:t>
      </w:r>
    </w:p>
    <w:p>
      <w:r>
        <w:br w:type="page"/>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CERTIFICATION AND ASSESSOR RECORD</w:t>
      </w:r>
    </w:p>
    <w:p>
      <w:pPr>
        <w:spacing w:after="120"/>
      </w:pPr>
      <w:r>
        <w:rPr>
          <w:rFonts w:ascii="Arial" w:cs="Arial" w:eastAsia="Arial" w:hAnsi="Arial"/>
          <w:sz w:val="22"/>
          <w:szCs w:val="22"/>
        </w:rPr>
        <w:t xml:space="preserve">I, Alexa Shuda, certify that all evidence presented in this Prior Learning Assessment portfolio is authentic, accurately described, and directly reflective of skills and knowledge I have developed through experiential learning. I understand that misrepresentation of any evidence may result in denial of PLA credit and academic consequences under DCCC's Academic Integrity Policy.</w:t>
      </w:r>
    </w:p>
    <w:p>
      <w:pPr>
        <w:spacing w:after="400"/>
      </w:pPr>
    </w:p>
    <w:p>
      <w:pPr>
        <w:spacing w:after="200"/>
      </w:pPr>
      <w:r>
        <w:rPr>
          <w:rFonts w:ascii="Arial" w:cs="Arial" w:eastAsia="Arial" w:hAnsi="Arial"/>
          <w:sz w:val="22"/>
          <w:szCs w:val="22"/>
        </w:rPr>
        <w:t xml:space="preserve">Signature: ________________________________________   </w:t>
      </w:r>
      <w:r>
        <w:rPr>
          <w:rFonts w:ascii="Arial" w:cs="Arial" w:eastAsia="Arial" w:hAnsi="Arial"/>
          <w:sz w:val="22"/>
          <w:szCs w:val="22"/>
        </w:rPr>
        <w:t xml:space="preserve">Date: __________________</w:t>
      </w:r>
    </w:p>
    <w:p>
      <w:pPr>
        <w:spacing w:after="400"/>
      </w:pPr>
      <w:r>
        <w:rPr>
          <w:rFonts w:ascii="Arial" w:cs="Arial" w:eastAsia="Arial" w:hAnsi="Arial"/>
          <w:color w:val="5A6475"/>
          <w:sz w:val="20"/>
          <w:szCs w:val="20"/>
        </w:rPr>
        <w:t xml:space="preserve">Alexa Shuda  |  Student ID: P00721319  |  lex@puuere.com</w:t>
      </w:r>
    </w:p>
    <w:p>
      <w:pPr>
        <w:pBdr>
          <w:bottom w:val="single" w:color="C9A84C" w:sz="4" w:space="2"/>
        </w:pBdr>
        <w:spacing w:after="160"/>
      </w:pPr>
    </w:p>
    <w:p>
      <w:pPr>
        <w:spacing w:after="300"/>
        <w:jc w:val="center"/>
      </w:pPr>
      <w:r>
        <w:rPr>
          <w:rFonts w:ascii="Arial" w:cs="Arial" w:eastAsia="Arial" w:hAnsi="Arial"/>
          <w:b/>
          <w:bCs/>
          <w:color w:val="0A1628"/>
          <w:sz w:val="20"/>
          <w:szCs w:val="20"/>
        </w:rPr>
        <w:t xml:space="preserve">FOR DCCC ASSESSOR USE ONLY</w:t>
      </w:r>
    </w:p>
    <w:p>
      <w:pPr>
        <w:spacing w:after="120"/>
      </w:pPr>
      <w:r>
        <w:rPr>
          <w:rFonts w:ascii="Arial" w:cs="Arial" w:eastAsia="Arial" w:hAnsi="Arial"/>
          <w:sz w:val="22"/>
          <w:szCs w:val="22"/>
        </w:rPr>
        <w:t xml:space="preserve">Portfolio PLA Assessment (30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130 — Technology in the Law (TC)</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210 — Civil Litigation &amp; Tort Principles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211 — Civil Litigation &amp; Tort Applications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SPECIALTY SUBTOTAL (max 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_______ / 9 credits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ADJ 241 — Criminal Justice and Diversity (DJ)</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ADJ 101 — Introduction to Criminal Justice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ADJ 225 — Ethics in Criminal Justice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ENG 100 — English Composition 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ENG 112 — English Composition II</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SPC 101 — Oral Communication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PHI 100 — Introduction to Philosophy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TOTAL PORTFOLIO PLA CREDITS AWARDED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_______ / 30 maximum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Lead Assessor: __________</w:t>
            </w:r>
          </w:p>
        </w:tc>
      </w:tr>
    </w:tbl>
    <w:p>
      <w:pPr>
        <w:spacing w:after="200"/>
      </w:pPr>
    </w:p>
    <w:p>
      <w:pPr>
        <w:spacing w:after="120"/>
      </w:pPr>
      <w:r>
        <w:rPr>
          <w:rFonts w:ascii="Arial" w:cs="Arial" w:eastAsia="Arial" w:hAnsi="Arial"/>
          <w:sz w:val="22"/>
          <w:szCs w:val="22"/>
        </w:rPr>
        <w:t xml:space="preserve">AmeriCorps ACE Credit (6 credits — submitted via transfer process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AmeriCorps NCCC — Atlantic Region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3 credits ACE evaluated — Term 1</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records@dccc.edu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AmeriCorps NCCC — Pacific Region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3 credits ACE evaluated — Term 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records@dccc.edu</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ACE TRANSFER CREDIT SUBTOTAL</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6 credits (processed separately by Registrar)</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Registrar: __________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COMBINED NONTRADITIONAL TOTAL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Portfolio PLA + ACE Transfer = _______ / 36 maximum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
            </w:r>
          </w:p>
        </w:tc>
      </w:tr>
    </w:tbl>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4" w:space="2"/>
      </w:pBdr>
      <w:spacing w:before="60"/>
      <w:jc w:val="center"/>
    </w:pPr>
    <w:r>
      <w:rPr>
        <w:rFonts w:ascii="Arial" w:cs="Arial" w:eastAsia="Arial" w:hAnsi="Arial"/>
        <w:b/>
        <w:bCs/>
        <w:color w:val="8B0000"/>
        <w:sz w:val="16"/>
        <w:szCs w:val="16"/>
      </w:rPr>
      <w:t xml:space="preserve">CONFIDENTIAL — FOR DCCC ACADEMIC REVIEW ONLY  |  Page </w:t>
    </w:r>
    <w:r>
      <w:rPr>
        <w:rFonts w:ascii="Arial" w:cs="Arial" w:eastAsia="Arial" w:hAnsi="Arial"/>
        <w:b/>
        <w:bCs/>
        <w:color w:val="8B0000"/>
        <w:sz w:val="16"/>
        <w:szCs w:val="16"/>
      </w:rPr>
      <w:fldChar w:fldCharType="begin"/>
      <w:instrText xml:space="preserve">PAGE</w:instrText>
      <w:fldChar w:fldCharType="separate"/>
      <w:fldChar w:fldCharType="end"/>
    </w:r>
    <w:r>
      <w:rPr>
        <w:rFonts w:ascii="Arial" w:cs="Arial" w:eastAsia="Arial" w:hAnsi="Arial"/>
        <w:b/>
        <w:bCs/>
        <w:color w:val="8B0000"/>
        <w:sz w:val="16"/>
        <w:szCs w:val="16"/>
      </w:rPr>
      <w:t xml:space="preserve"> of </w:t>
    </w:r>
    <w:r>
      <w:rPr>
        <w:rFonts w:ascii="Arial" w:cs="Arial" w:eastAsia="Arial" w:hAnsi="Arial"/>
        <w:b/>
        <w:bCs/>
        <w:color w:val="8B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spacing w:after="60"/>
      <w:jc w:val="center"/>
    </w:pPr>
    <w:r>
      <w:rPr>
        <w:rFonts w:ascii="Arial" w:cs="Arial" w:eastAsia="Arial" w:hAnsi="Arial"/>
        <w:b/>
        <w:bCs/>
        <w:color w:val="0A1628"/>
        <w:sz w:val="18"/>
        <w:szCs w:val="18"/>
      </w:rPr>
      <w:t xml:space="preserve">Alexa Shuda  |  Student ID: P00721319</w:t>
    </w:r>
  </w:p>
  <w:p>
    <w:pPr>
      <w:spacing w:after="0"/>
      <w:jc w:val="center"/>
    </w:pPr>
    <w:r>
      <w:rPr>
        <w:rFonts w:ascii="Arial" w:cs="Arial" w:eastAsia="Arial" w:hAnsi="Arial"/>
        <w:color w:val="5A6475"/>
        <w:sz w:val="16"/>
        <w:szCs w:val="16"/>
      </w:rPr>
      <w:t xml:space="preserve">Delaware County Community College  |  Legal Studies (LGL) Program  |  Prior Learning Assessment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A64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2026-06-11T12:44:54.445Z</dcterms:created>
  <dcterms:modified xsi:type="dcterms:W3CDTF">2026-06-11T12:44:54.448Z</dcterms:modified>
</cp:coreProperties>
</file>

<file path=docProps/custom.xml><?xml version="1.0" encoding="utf-8"?>
<Properties xmlns="http://schemas.openxmlformats.org/officeDocument/2006/custom-properties" xmlns:vt="http://schemas.openxmlformats.org/officeDocument/2006/docPropsVTypes"/>
</file>