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3E724" w14:textId="77777777" w:rsidR="00727B5C" w:rsidRPr="00727B5C" w:rsidRDefault="00727B5C" w:rsidP="00727B5C">
      <w:pPr>
        <w:rPr>
          <w:b/>
          <w:bCs/>
        </w:rPr>
      </w:pPr>
      <w:r w:rsidRPr="00727B5C">
        <w:rPr>
          <w:b/>
          <w:bCs/>
        </w:rPr>
        <w:t>Phần 1 - Phân tích logic từ góc nhìn Kiến trúc sư</w:t>
      </w:r>
    </w:p>
    <w:p w14:paraId="2DF72652" w14:textId="77777777" w:rsidR="00727B5C" w:rsidRPr="00727B5C" w:rsidRDefault="00727B5C" w:rsidP="00727B5C">
      <w:r w:rsidRPr="00727B5C">
        <w:t xml:space="preserve">Để giải quyết bài toán này, chúng ta cần đặt hai công nghệ lên bàn cân dựa trên 3 thước đo nghiệp vụ cốt lõi: </w:t>
      </w:r>
      <w:r w:rsidRPr="00727B5C">
        <w:rPr>
          <w:b/>
          <w:bCs/>
        </w:rPr>
        <w:t>Scalability (Khả năng mở rộng)</w:t>
      </w:r>
      <w:r w:rsidRPr="00727B5C">
        <w:t xml:space="preserve">, </w:t>
      </w:r>
      <w:r w:rsidRPr="00727B5C">
        <w:rPr>
          <w:b/>
          <w:bCs/>
        </w:rPr>
        <w:t>Cross-device (Đa nền tảng)</w:t>
      </w:r>
      <w:r w:rsidRPr="00727B5C">
        <w:t xml:space="preserve">, và </w:t>
      </w:r>
      <w:r w:rsidRPr="00727B5C">
        <w:rPr>
          <w:b/>
          <w:bCs/>
        </w:rPr>
        <w:t>Microservices (Kiến trúc phân tán)</w:t>
      </w:r>
      <w:r w:rsidRPr="00727B5C">
        <w:t>.</w:t>
      </w:r>
    </w:p>
    <w:p w14:paraId="7D85F43F" w14:textId="77777777" w:rsidR="00727B5C" w:rsidRPr="00727B5C" w:rsidRDefault="00727B5C" w:rsidP="00727B5C">
      <w:pPr>
        <w:rPr>
          <w:b/>
          <w:bCs/>
        </w:rPr>
      </w:pPr>
      <w:r w:rsidRPr="00727B5C">
        <w:rPr>
          <w:b/>
          <w:bCs/>
        </w:rPr>
        <w:t>1. Khả năng mở rộng (Scalability)</w:t>
      </w:r>
    </w:p>
    <w:p w14:paraId="16F81AA3" w14:textId="77777777" w:rsidR="00727B5C" w:rsidRPr="00727B5C" w:rsidRDefault="00727B5C" w:rsidP="00727B5C">
      <w:pPr>
        <w:numPr>
          <w:ilvl w:val="0"/>
          <w:numId w:val="1"/>
        </w:numPr>
      </w:pPr>
      <w:r w:rsidRPr="00727B5C">
        <w:rPr>
          <w:b/>
          <w:bCs/>
        </w:rPr>
        <w:t>Session-based:</w:t>
      </w:r>
      <w:r w:rsidRPr="00727B5C">
        <w:t xml:space="preserve"> Đòi hỏi server phải lưu trạng thái (Stateful). Khi có hàng triệu người dùng truy cập đồng thời, việc lưu session trong bộ nhớ (RAM) của một server là bất khả thi. Ta buộc phải dùng một giải pháp lưu trữ tập trung như Redis Cluster. Dù Redis rất nhanh, nhưng việc hàng triệu request liên tục "gõ cửa" Redis chỉ để check xem user này là ai sẽ tạo ra một nút thắt cổ chai (Bottleneck) về I/O và làm tăng chi phí hạ tầng.</w:t>
      </w:r>
    </w:p>
    <w:p w14:paraId="47229B88" w14:textId="77777777" w:rsidR="00727B5C" w:rsidRPr="00727B5C" w:rsidRDefault="00727B5C" w:rsidP="00727B5C">
      <w:pPr>
        <w:numPr>
          <w:ilvl w:val="0"/>
          <w:numId w:val="1"/>
        </w:numPr>
      </w:pPr>
      <w:r w:rsidRPr="00727B5C">
        <w:rPr>
          <w:b/>
          <w:bCs/>
        </w:rPr>
        <w:t>JWT:</w:t>
      </w:r>
      <w:r w:rsidRPr="00727B5C">
        <w:t xml:space="preserve"> Hoạt động theo cơ chế không lưu trạng thái (Stateless). Mọi thông tin của user được đóng gói, mã hóa và nằm ngay trong token do client giữ. Server chỉ cần dùng Secret Key để giải mã và xác thực. Không tốn một byte RAM nào để lưu session, không cần gọi DB/Cache để check. Đây là "vũ khí tối thượng" để scale lên hàng triệu user.</w:t>
      </w:r>
    </w:p>
    <w:p w14:paraId="15B592B7" w14:textId="77777777" w:rsidR="00727B5C" w:rsidRPr="00727B5C" w:rsidRDefault="00727B5C" w:rsidP="00727B5C">
      <w:pPr>
        <w:rPr>
          <w:b/>
          <w:bCs/>
        </w:rPr>
      </w:pPr>
      <w:r w:rsidRPr="00727B5C">
        <w:rPr>
          <w:b/>
          <w:bCs/>
        </w:rPr>
        <w:t>2. Hoạt động qua API và Đa thiết bị (Cross-device)</w:t>
      </w:r>
    </w:p>
    <w:p w14:paraId="71CA35F1" w14:textId="77777777" w:rsidR="00727B5C" w:rsidRPr="00727B5C" w:rsidRDefault="00727B5C" w:rsidP="00727B5C">
      <w:pPr>
        <w:numPr>
          <w:ilvl w:val="0"/>
          <w:numId w:val="2"/>
        </w:numPr>
      </w:pPr>
      <w:r w:rsidRPr="00727B5C">
        <w:rPr>
          <w:b/>
          <w:bCs/>
        </w:rPr>
        <w:t>Session-based:</w:t>
      </w:r>
      <w:r w:rsidRPr="00727B5C">
        <w:t xml:space="preserve"> Dựa dẫm nặng nề vào Cookie. Trình duyệt web xử lý Cookie rất tốt, nhưng với ứng dụng di động (Mobile App), việc quản lý Cookie phức tạp hơn nhiều. Chưa kể, nếu sau này Blockchain Explorer mở rộng API cho bên thứ ba (Third-party developers) tích hợp, việc bắt họ dùng Cookie là một cực hình kỹ thuật và dễ dính lỗi CORS (Cross-Origin Resource Sharing).</w:t>
      </w:r>
    </w:p>
    <w:p w14:paraId="758458FB" w14:textId="77777777" w:rsidR="00727B5C" w:rsidRPr="00727B5C" w:rsidRDefault="00727B5C" w:rsidP="00727B5C">
      <w:pPr>
        <w:numPr>
          <w:ilvl w:val="0"/>
          <w:numId w:val="2"/>
        </w:numPr>
      </w:pPr>
      <w:r w:rsidRPr="00727B5C">
        <w:rPr>
          <w:b/>
          <w:bCs/>
        </w:rPr>
        <w:t>JWT:</w:t>
      </w:r>
      <w:r w:rsidRPr="00727B5C">
        <w:t xml:space="preserve"> Token bản chất là một chuỗi string chuẩn hóa (Header.Payload.Signature). Nó được gửi qua HTTP Header (Authorization: Bearer &lt;token&gt;). Định dạng này là "ngôn ngữ chung" của mọi nền tảng: từ Web, iOS, Android cho đến các đoạn script chạy bằng dòng lệnh (CLI).</w:t>
      </w:r>
    </w:p>
    <w:p w14:paraId="71568DE4" w14:textId="77777777" w:rsidR="00727B5C" w:rsidRPr="00727B5C" w:rsidRDefault="00727B5C" w:rsidP="00727B5C">
      <w:pPr>
        <w:rPr>
          <w:b/>
          <w:bCs/>
        </w:rPr>
      </w:pPr>
      <w:r w:rsidRPr="00727B5C">
        <w:rPr>
          <w:b/>
          <w:bCs/>
        </w:rPr>
        <w:t>3. Kiến trúc dịch vụ phân tán (Microservices)</w:t>
      </w:r>
    </w:p>
    <w:p w14:paraId="208E55A5" w14:textId="77777777" w:rsidR="00727B5C" w:rsidRPr="00727B5C" w:rsidRDefault="00727B5C" w:rsidP="00727B5C">
      <w:pPr>
        <w:numPr>
          <w:ilvl w:val="0"/>
          <w:numId w:val="3"/>
        </w:numPr>
      </w:pPr>
      <w:r w:rsidRPr="00727B5C">
        <w:rPr>
          <w:b/>
          <w:bCs/>
        </w:rPr>
        <w:t>Session-based:</w:t>
      </w:r>
      <w:r w:rsidRPr="00727B5C">
        <w:t xml:space="preserve"> Khi User Service, Wallet Tracking Service, và Alert Service cần xác thực người dùng, tất cả chúng đều phải gọi về Session Store trung tâm. Sự phụ thuộc này làm mất đi tính độc lập độc đáo của kiến trúc Microservices.</w:t>
      </w:r>
    </w:p>
    <w:p w14:paraId="0F78717D" w14:textId="77777777" w:rsidR="00727B5C" w:rsidRPr="00727B5C" w:rsidRDefault="00727B5C" w:rsidP="00727B5C">
      <w:pPr>
        <w:numPr>
          <w:ilvl w:val="0"/>
          <w:numId w:val="3"/>
        </w:numPr>
      </w:pPr>
      <w:r w:rsidRPr="00727B5C">
        <w:rPr>
          <w:b/>
          <w:bCs/>
        </w:rPr>
        <w:t>JWT:</w:t>
      </w:r>
      <w:r w:rsidRPr="00727B5C">
        <w:t xml:space="preserve"> Điểm sáng nhất ở đây. Khi áp dụng mã hóa bất đối xứng (RSA/ECDSA), Auth Service giữ Private Key để ký token, còn các Microservices khác chỉ cần giữ Public </w:t>
      </w:r>
      <w:r w:rsidRPr="00727B5C">
        <w:lastRenderedPageBreak/>
        <w:t xml:space="preserve">Key để tự xác thực token tại chỗ. </w:t>
      </w:r>
      <w:r w:rsidRPr="00727B5C">
        <w:rPr>
          <w:b/>
          <w:bCs/>
        </w:rPr>
        <w:t>Zero network calls</w:t>
      </w:r>
      <w:r w:rsidRPr="00727B5C">
        <w:t xml:space="preserve"> phục vụ cho việc xác thực giữa các service!</w:t>
      </w:r>
    </w:p>
    <w:p w14:paraId="1AA67405" w14:textId="1222B5F8" w:rsidR="00727B5C" w:rsidRPr="00727B5C" w:rsidRDefault="00727B5C" w:rsidP="00727B5C">
      <w:r w:rsidRPr="00727B5C">
        <w:t xml:space="preserve"> </w:t>
      </w:r>
      <w:r w:rsidRPr="00727B5C">
        <w:rPr>
          <w:b/>
          <w:bCs/>
        </w:rPr>
        <w:t>Đề xuất giải pháp:</w:t>
      </w:r>
      <w:r w:rsidRPr="00727B5C">
        <w:t xml:space="preserve"> Tôi dứt khoát đề xuất sử dụng </w:t>
      </w:r>
      <w:r w:rsidRPr="00727B5C">
        <w:rPr>
          <w:b/>
          <w:bCs/>
        </w:rPr>
        <w:t>JWT (JSON Web Token)</w:t>
      </w:r>
      <w:r w:rsidRPr="00727B5C">
        <w:t xml:space="preserve">. Tuy nhiên, để khắc phục nhược điểm "khó thu hồi" của JWT, chúng ta sẽ triển khai cơ chế </w:t>
      </w:r>
      <w:r w:rsidRPr="00727B5C">
        <w:rPr>
          <w:b/>
          <w:bCs/>
        </w:rPr>
        <w:t>Dual-Token</w:t>
      </w:r>
      <w:r w:rsidRPr="00727B5C">
        <w:t>:</w:t>
      </w:r>
    </w:p>
    <w:p w14:paraId="7EBDB2B6" w14:textId="77777777" w:rsidR="00727B5C" w:rsidRPr="00727B5C" w:rsidRDefault="00727B5C" w:rsidP="00727B5C">
      <w:pPr>
        <w:numPr>
          <w:ilvl w:val="0"/>
          <w:numId w:val="4"/>
        </w:numPr>
      </w:pPr>
      <w:r w:rsidRPr="00727B5C">
        <w:rPr>
          <w:b/>
          <w:bCs/>
        </w:rPr>
        <w:t>Access Token (JWT):</w:t>
      </w:r>
      <w:r w:rsidRPr="00727B5C">
        <w:t xml:space="preserve"> Thời gian sống ngắn (15 phút), dùng để truy cập microservices tốc độ cao.</w:t>
      </w:r>
    </w:p>
    <w:p w14:paraId="4E7DFA96" w14:textId="77777777" w:rsidR="00727B5C" w:rsidRPr="00727B5C" w:rsidRDefault="00727B5C" w:rsidP="00727B5C">
      <w:pPr>
        <w:numPr>
          <w:ilvl w:val="0"/>
          <w:numId w:val="4"/>
        </w:numPr>
      </w:pPr>
      <w:r w:rsidRPr="00727B5C">
        <w:rPr>
          <w:b/>
          <w:bCs/>
        </w:rPr>
        <w:t>Refresh Token (Opaque String):</w:t>
      </w:r>
      <w:r w:rsidRPr="00727B5C">
        <w:t xml:space="preserve"> Thời gian sống dài (7 ngày), lưu ở Redis phía server, chỉ dùng để đổi Access Token mới khi hết hạn.</w:t>
      </w:r>
    </w:p>
    <w:p w14:paraId="039020EE" w14:textId="77777777" w:rsidR="00CA1066" w:rsidRDefault="00CA1066"/>
    <w:sectPr w:rsidR="00CA1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00B9"/>
    <w:multiLevelType w:val="multilevel"/>
    <w:tmpl w:val="DE0E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93650"/>
    <w:multiLevelType w:val="multilevel"/>
    <w:tmpl w:val="C75E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904E41"/>
    <w:multiLevelType w:val="multilevel"/>
    <w:tmpl w:val="ABAA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F2E9A"/>
    <w:multiLevelType w:val="multilevel"/>
    <w:tmpl w:val="EA68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2884938">
    <w:abstractNumId w:val="3"/>
  </w:num>
  <w:num w:numId="2" w16cid:durableId="873736721">
    <w:abstractNumId w:val="1"/>
  </w:num>
  <w:num w:numId="3" w16cid:durableId="1000039582">
    <w:abstractNumId w:val="0"/>
  </w:num>
  <w:num w:numId="4" w16cid:durableId="19022487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AF4"/>
    <w:rsid w:val="004B3AF4"/>
    <w:rsid w:val="00727B5C"/>
    <w:rsid w:val="0078049A"/>
    <w:rsid w:val="00CA1066"/>
    <w:rsid w:val="00D25E8F"/>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598F"/>
  <w15:chartTrackingRefBased/>
  <w15:docId w15:val="{B55E88D8-D20E-4942-870A-1C5D7F042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AF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B3AF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B3AF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B3A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3A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3A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A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A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A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AF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4B3AF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4B3AF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4B3A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3A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3A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A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A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AF4"/>
    <w:rPr>
      <w:rFonts w:eastAsiaTheme="majorEastAsia" w:cstheme="majorBidi"/>
      <w:color w:val="272727" w:themeColor="text1" w:themeTint="D8"/>
    </w:rPr>
  </w:style>
  <w:style w:type="paragraph" w:styleId="Title">
    <w:name w:val="Title"/>
    <w:basedOn w:val="Normal"/>
    <w:next w:val="Normal"/>
    <w:link w:val="TitleChar"/>
    <w:uiPriority w:val="10"/>
    <w:qFormat/>
    <w:rsid w:val="004B3AF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B3AF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4B3AF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B3AF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4B3AF4"/>
    <w:pPr>
      <w:spacing w:before="160"/>
      <w:jc w:val="center"/>
    </w:pPr>
    <w:rPr>
      <w:i/>
      <w:iCs/>
      <w:color w:val="404040" w:themeColor="text1" w:themeTint="BF"/>
    </w:rPr>
  </w:style>
  <w:style w:type="character" w:customStyle="1" w:styleId="QuoteChar">
    <w:name w:val="Quote Char"/>
    <w:basedOn w:val="DefaultParagraphFont"/>
    <w:link w:val="Quote"/>
    <w:uiPriority w:val="29"/>
    <w:rsid w:val="004B3AF4"/>
    <w:rPr>
      <w:i/>
      <w:iCs/>
      <w:color w:val="404040" w:themeColor="text1" w:themeTint="BF"/>
    </w:rPr>
  </w:style>
  <w:style w:type="paragraph" w:styleId="ListParagraph">
    <w:name w:val="List Paragraph"/>
    <w:basedOn w:val="Normal"/>
    <w:uiPriority w:val="34"/>
    <w:qFormat/>
    <w:rsid w:val="004B3AF4"/>
    <w:pPr>
      <w:ind w:left="720"/>
      <w:contextualSpacing/>
    </w:pPr>
  </w:style>
  <w:style w:type="character" w:styleId="IntenseEmphasis">
    <w:name w:val="Intense Emphasis"/>
    <w:basedOn w:val="DefaultParagraphFont"/>
    <w:uiPriority w:val="21"/>
    <w:qFormat/>
    <w:rsid w:val="004B3AF4"/>
    <w:rPr>
      <w:i/>
      <w:iCs/>
      <w:color w:val="0F4761" w:themeColor="accent1" w:themeShade="BF"/>
    </w:rPr>
  </w:style>
  <w:style w:type="paragraph" w:styleId="IntenseQuote">
    <w:name w:val="Intense Quote"/>
    <w:basedOn w:val="Normal"/>
    <w:next w:val="Normal"/>
    <w:link w:val="IntenseQuoteChar"/>
    <w:uiPriority w:val="30"/>
    <w:qFormat/>
    <w:rsid w:val="004B3A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AF4"/>
    <w:rPr>
      <w:i/>
      <w:iCs/>
      <w:color w:val="0F4761" w:themeColor="accent1" w:themeShade="BF"/>
    </w:rPr>
  </w:style>
  <w:style w:type="character" w:styleId="IntenseReference">
    <w:name w:val="Intense Reference"/>
    <w:basedOn w:val="DefaultParagraphFont"/>
    <w:uiPriority w:val="32"/>
    <w:qFormat/>
    <w:rsid w:val="004B3A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Nguyễn</dc:creator>
  <cp:keywords/>
  <dc:description/>
  <cp:lastModifiedBy>Quang Anh Nguyễn</cp:lastModifiedBy>
  <cp:revision>2</cp:revision>
  <dcterms:created xsi:type="dcterms:W3CDTF">2026-06-21T14:40:00Z</dcterms:created>
  <dcterms:modified xsi:type="dcterms:W3CDTF">2026-06-21T14:40:00Z</dcterms:modified>
</cp:coreProperties>
</file>