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Replikasi Deteksi Berita Hoaks Berbahasa Indonesia Menggunakan Multinomial Naïve Bayes dengan Pembobotan TF-IDF dan Perbandingan terhadap SVM dan Logistic Regression</w:t>
      </w:r>
    </w:p>
    <w:p>
      <w:pPr>
        <w:spacing w:after="40"/>
        <w:jc w:val="center"/>
      </w:pPr>
      <w:r>
        <w:rPr>
          <w:rFonts w:ascii="Times New Roman" w:cs="Times New Roman" w:eastAsia="Times New Roman" w:hAnsi="Times New Roman"/>
          <w:sz w:val="22"/>
          <w:szCs w:val="22"/>
        </w:rPr>
        <w:t xml:space="preserve">Abiansyah</w:t>
      </w:r>
    </w:p>
    <w:p>
      <w:pPr>
        <w:spacing w:after="40"/>
        <w:jc w:val="center"/>
      </w:pPr>
      <w:r>
        <w:rPr>
          <w:rFonts w:ascii="Times New Roman" w:cs="Times New Roman" w:eastAsia="Times New Roman" w:hAnsi="Times New Roman"/>
          <w:i/>
          <w:iCs/>
          <w:sz w:val="20"/>
          <w:szCs w:val="20"/>
        </w:rPr>
        <w:t xml:space="preserve">Program Studi Teknik Informatika</w:t>
      </w:r>
    </w:p>
    <w:p>
      <w:pPr>
        <w:pBdr>
          <w:top w:val="single" w:color="E0A800" w:sz="2" w:space="4"/>
          <w:left w:val="single" w:color="E0A800" w:sz="16" w:space="6"/>
          <w:bottom w:val="single" w:color="E0A800" w:sz="2" w:space="4"/>
          <w:right w:val="single" w:color="E0A800" w:sz="2" w:space="4"/>
        </w:pBdr>
        <w:shd w:fill="FFF6D5" w:val="clear"/>
        <w:spacing w:after="120" w:before="20"/>
      </w:pPr>
      <w:r>
        <w:rPr>
          <w:rFonts w:ascii="Times New Roman" w:cs="Times New Roman" w:eastAsia="Times New Roman" w:hAnsi="Times New Roman"/>
          <w:b/>
          <w:bCs/>
          <w:color w:val="8A6D00"/>
          <w:sz w:val="18"/>
          <w:szCs w:val="18"/>
        </w:rPr>
        <w:t xml:space="preserve">ISI SENDIRI: </w:t>
      </w:r>
      <w:r>
        <w:rPr>
          <w:rFonts w:ascii="Times New Roman" w:cs="Times New Roman" w:eastAsia="Times New Roman" w:hAnsi="Times New Roman"/>
          <w:i/>
          <w:iCs/>
          <w:sz w:val="18"/>
          <w:szCs w:val="18"/>
        </w:rPr>
        <w:t xml:space="preserve">Lengkapi NIM, nama institusi, dan email pada baris afiliasi di atas sesuai format IEEE.</w:t>
      </w:r>
    </w:p>
    <w:p>
      <w:pPr>
        <w:pStyle w:val="Heading1"/>
        <w:spacing w:after="80" w:before="200"/>
      </w:pPr>
      <w:r>
        <w:rPr>
          <w:rFonts w:ascii="Times New Roman" w:cs="Times New Roman" w:eastAsia="Times New Roman" w:hAnsi="Times New Roman"/>
          <w:b/>
          <w:bCs/>
          <w:i/>
          <w:iCs/>
          <w:sz w:val="22"/>
          <w:szCs w:val="22"/>
        </w:rPr>
        <w:t xml:space="preserve">Abstract</w:t>
      </w:r>
    </w:p>
    <w:p>
      <w:pPr>
        <w:spacing w:after="100"/>
        <w:jc w:val="both"/>
      </w:pPr>
      <w:r>
        <w:rPr>
          <w:rFonts w:ascii="Times New Roman" w:cs="Times New Roman" w:eastAsia="Times New Roman" w:hAnsi="Times New Roman"/>
          <w:sz w:val="22"/>
          <w:szCs w:val="22"/>
        </w:rPr>
        <w:t xml:space="preserve">Penyebaran berita hoaks berbahasa Indonesia di media daring menuntut metode deteksi otomatis yang andal. Penelitian ini mereplikasi pendekatan klasifikasi berita hoaks menggunakan Multinomial Naïve Bayes (NB) dengan pembobotan TF-IDF pada dataset publik Indonesian Hoax News Detection (600 berita; 372 valid, 228 hoaks). Metode usulan dievaluasi pada tiga skema pembagian data (60-40, 70-30, 80-20) dan dibandingkan dengan dua baseline, yaitu Support Vector Machine (SVM) linear dan Logistic Regression (LR). Hasil eksperimen menunjukkan NB mencapai akurasi rata-rata 72,2% dan F1-score 65,2%, kompetitif terhadap SVM (akurasi 74,3%, F1 65,4%) dan unggul dalam recall (68,7%) dibanding LR (41,1%). Temuan ini mengindikasikan bahwa NB tetap relevan sebagai metode ringan untuk deteksi hoaks berbahasa Indonesia, dengan recall yang baik dalam menangkap kelas hoaks.</w:t>
      </w:r>
    </w:p>
    <w:p>
      <w:pPr>
        <w:spacing w:after="120"/>
        <w:jc w:val="both"/>
      </w:pPr>
      <w:r>
        <w:rPr>
          <w:rFonts w:ascii="Times New Roman" w:cs="Times New Roman" w:eastAsia="Times New Roman" w:hAnsi="Times New Roman"/>
          <w:i/>
          <w:iCs/>
          <w:sz w:val="22"/>
          <w:szCs w:val="22"/>
        </w:rPr>
        <w:t xml:space="preserve">Keywords: deteksi hoaks, Naïve Bayes, TF-IDF, SVM, klasifikasi teks, bahasa Indonesia</w:t>
      </w:r>
    </w:p>
    <w:p>
      <w:pPr>
        <w:pStyle w:val="Heading1"/>
        <w:spacing w:after="100" w:before="240"/>
      </w:pPr>
      <w:r>
        <w:rPr>
          <w:rFonts w:ascii="Times New Roman" w:cs="Times New Roman" w:eastAsia="Times New Roman" w:hAnsi="Times New Roman"/>
          <w:b/>
          <w:bCs/>
          <w:sz w:val="24"/>
          <w:szCs w:val="24"/>
        </w:rPr>
        <w:t xml:space="preserve">I. Pendahuluan</w:t>
      </w:r>
    </w:p>
    <w:p>
      <w:pPr>
        <w:spacing w:after="100"/>
        <w:jc w:val="both"/>
      </w:pPr>
      <w:r>
        <w:rPr>
          <w:rFonts w:ascii="Times New Roman" w:cs="Times New Roman" w:eastAsia="Times New Roman" w:hAnsi="Times New Roman"/>
          <w:sz w:val="22"/>
          <w:szCs w:val="22"/>
        </w:rPr>
        <w:t xml:space="preserve">Perkembangan media daring mempermudah penyebaran informasi, termasuk berita hoaks yang dapat menyesatkan opini publik. Deteksi otomatis berita hoaks menjadi kebutuhan untuk mendukung literasi digital masyarakat.</w:t>
      </w:r>
    </w:p>
    <w:p>
      <w:pPr>
        <w:pBdr>
          <w:top w:val="single" w:color="E0A800" w:sz="2" w:space="4"/>
          <w:left w:val="single" w:color="E0A800" w:sz="16" w:space="6"/>
          <w:bottom w:val="single" w:color="E0A800" w:sz="2" w:space="4"/>
          <w:right w:val="single" w:color="E0A800" w:sz="2" w:space="4"/>
        </w:pBdr>
        <w:shd w:fill="FFF6D5" w:val="clear"/>
        <w:spacing w:after="120" w:before="20"/>
      </w:pPr>
      <w:r>
        <w:rPr>
          <w:rFonts w:ascii="Times New Roman" w:cs="Times New Roman" w:eastAsia="Times New Roman" w:hAnsi="Times New Roman"/>
          <w:b/>
          <w:bCs/>
          <w:color w:val="8A6D00"/>
          <w:sz w:val="18"/>
          <w:szCs w:val="18"/>
        </w:rPr>
        <w:t xml:space="preserve">ISI SENDIRI: </w:t>
      </w:r>
      <w:r>
        <w:rPr>
          <w:rFonts w:ascii="Times New Roman" w:cs="Times New Roman" w:eastAsia="Times New Roman" w:hAnsi="Times New Roman"/>
          <w:i/>
          <w:iCs/>
          <w:sz w:val="18"/>
          <w:szCs w:val="18"/>
        </w:rPr>
        <w:t xml:space="preserve">Tambahkan 2-3 paragraf: (1) urgensi masalah hoaks di Indonesia dengan data/sitasi, (2) ringkas keterbatasan penelitian terdahulu yang menjadi gap, (3) nyatakan kontribusi. Hubungkan ke 03_Gap_Analysis.</w:t>
      </w:r>
    </w:p>
    <w:p>
      <w:pPr>
        <w:spacing w:after="100"/>
        <w:jc w:val="both"/>
      </w:pPr>
      <w:r>
        <w:rPr>
          <w:rFonts w:ascii="Times New Roman" w:cs="Times New Roman" w:eastAsia="Times New Roman" w:hAnsi="Times New Roman"/>
          <w:sz w:val="22"/>
          <w:szCs w:val="22"/>
        </w:rPr>
        <w:t xml:space="preserve">Kontribusi penelitian ini: (1) mereplikasi metode NB+TF-IDF untuk deteksi hoaks berbahasa Indonesia pada dataset publik; (2) menambahkan baseline SVM dan Logistic Regression sebagai pembanding; (3) mengevaluasi konsistensi performa pada tiga skema pembagian data.</w:t>
      </w:r>
    </w:p>
    <w:p>
      <w:pPr>
        <w:pStyle w:val="Heading1"/>
        <w:spacing w:after="100" w:before="240"/>
      </w:pPr>
      <w:r>
        <w:rPr>
          <w:rFonts w:ascii="Times New Roman" w:cs="Times New Roman" w:eastAsia="Times New Roman" w:hAnsi="Times New Roman"/>
          <w:b/>
          <w:bCs/>
          <w:sz w:val="24"/>
          <w:szCs w:val="24"/>
        </w:rPr>
        <w:t xml:space="preserve">II. Penelitian Terkait</w:t>
      </w:r>
    </w:p>
    <w:p>
      <w:pPr>
        <w:pBdr>
          <w:top w:val="single" w:color="E0A800" w:sz="2" w:space="4"/>
          <w:left w:val="single" w:color="E0A800" w:sz="16" w:space="6"/>
          <w:bottom w:val="single" w:color="E0A800" w:sz="2" w:space="4"/>
          <w:right w:val="single" w:color="E0A800" w:sz="2" w:space="4"/>
        </w:pBdr>
        <w:shd w:fill="FFF6D5" w:val="clear"/>
        <w:spacing w:after="120" w:before="20"/>
      </w:pPr>
      <w:r>
        <w:rPr>
          <w:rFonts w:ascii="Times New Roman" w:cs="Times New Roman" w:eastAsia="Times New Roman" w:hAnsi="Times New Roman"/>
          <w:b/>
          <w:bCs/>
          <w:color w:val="8A6D00"/>
          <w:sz w:val="18"/>
          <w:szCs w:val="18"/>
        </w:rPr>
        <w:t xml:space="preserve">ISI SENDIRI: </w:t>
      </w:r>
      <w:r>
        <w:rPr>
          <w:rFonts w:ascii="Times New Roman" w:cs="Times New Roman" w:eastAsia="Times New Roman" w:hAnsi="Times New Roman"/>
          <w:i/>
          <w:iCs/>
          <w:sz w:val="18"/>
          <w:szCs w:val="18"/>
        </w:rPr>
        <w:t xml:space="preserve">Sintesis MINIMAL 10 paper bereputasi (2021-2026) bertema deteksi hoaks/fake news. Kelompokkan per pendekatan (ML klasik vs deep learning), dan akhiri dengan gap yang belum terjawab. Ambil dari 02_Literature_Mapping. JANGAN mengarang sitasi — isi dari paper yang benar-benar Anda baca.</w:t>
      </w:r>
    </w:p>
    <w:p>
      <w:pPr>
        <w:spacing w:after="100"/>
        <w:jc w:val="both"/>
      </w:pPr>
      <w:r>
        <w:rPr>
          <w:rFonts w:ascii="Times New Roman" w:cs="Times New Roman" w:eastAsia="Times New Roman" w:hAnsi="Times New Roman"/>
          <w:sz w:val="22"/>
          <w:szCs w:val="22"/>
        </w:rPr>
        <w:t xml:space="preserve">Paper acuan utama: I. Y. R. Pratiwi, R. A. Asmara, dan F. Rahutomo, "Study of hoax news detection using naïve bayes classifier in Indonesian language," ICTS 2017. Penelitian tersebut mengusulkan NB pada dataset yang sama dengan skema split 60-40, 70-30, dan 80-20.</w:t>
      </w:r>
    </w:p>
    <w:p>
      <w:pPr>
        <w:pStyle w:val="Heading1"/>
        <w:spacing w:after="100" w:before="240"/>
      </w:pPr>
      <w:r>
        <w:rPr>
          <w:rFonts w:ascii="Times New Roman" w:cs="Times New Roman" w:eastAsia="Times New Roman" w:hAnsi="Times New Roman"/>
          <w:b/>
          <w:bCs/>
          <w:sz w:val="24"/>
          <w:szCs w:val="24"/>
        </w:rPr>
        <w:t xml:space="preserve">III. Metode yang Diusulkan</w:t>
      </w:r>
    </w:p>
    <w:p>
      <w:pPr>
        <w:spacing w:after="100"/>
        <w:jc w:val="both"/>
      </w:pPr>
      <w:r>
        <w:rPr>
          <w:rFonts w:ascii="Times New Roman" w:cs="Times New Roman" w:eastAsia="Times New Roman" w:hAnsi="Times New Roman"/>
          <w:sz w:val="22"/>
          <w:szCs w:val="22"/>
        </w:rPr>
        <w:t xml:space="preserve">Alur penelitian terdiri atas: pengumpulan dataset, prapemrosesan teks, ekstraksi fitur TF-IDF, pelatihan model, dan evaluasi.</w:t>
      </w:r>
    </w:p>
    <w:p>
      <w:pPr>
        <w:spacing w:after="60"/>
        <w:jc w:val="both"/>
      </w:pPr>
      <w:r>
        <w:rPr>
          <w:rFonts w:ascii="Times New Roman" w:cs="Times New Roman" w:eastAsia="Times New Roman" w:hAnsi="Times New Roman"/>
          <w:b/>
          <w:bCs/>
          <w:sz w:val="22"/>
          <w:szCs w:val="22"/>
        </w:rPr>
        <w:t xml:space="preserve">A. Dataset</w:t>
      </w:r>
    </w:p>
    <w:p>
      <w:pPr>
        <w:spacing w:after="100"/>
        <w:jc w:val="both"/>
      </w:pPr>
      <w:r>
        <w:rPr>
          <w:rFonts w:ascii="Times New Roman" w:cs="Times New Roman" w:eastAsia="Times New Roman" w:hAnsi="Times New Roman"/>
          <w:sz w:val="22"/>
          <w:szCs w:val="22"/>
        </w:rPr>
        <w:t xml:space="preserve">Dataset Indonesian Hoax News Detection (Mendeley, CC BY 4.0, DOI 10.17632/p3hfgr5j3m.1) berisi 600 teks berita berbahasa Indonesia dengan label valid (372) dan hoaks (228), dilabeli melalui prosedur voting tiga penilai.</w:t>
      </w:r>
    </w:p>
    <w:p>
      <w:pPr>
        <w:spacing w:after="60"/>
        <w:jc w:val="both"/>
      </w:pPr>
      <w:r>
        <w:rPr>
          <w:rFonts w:ascii="Times New Roman" w:cs="Times New Roman" w:eastAsia="Times New Roman" w:hAnsi="Times New Roman"/>
          <w:b/>
          <w:bCs/>
          <w:sz w:val="22"/>
          <w:szCs w:val="22"/>
        </w:rPr>
        <w:t xml:space="preserve">B. Prapemrosesan</w:t>
      </w:r>
    </w:p>
    <w:p>
      <w:pPr>
        <w:spacing w:after="100"/>
        <w:jc w:val="both"/>
      </w:pPr>
      <w:r>
        <w:rPr>
          <w:rFonts w:ascii="Times New Roman" w:cs="Times New Roman" w:eastAsia="Times New Roman" w:hAnsi="Times New Roman"/>
          <w:sz w:val="22"/>
          <w:szCs w:val="22"/>
        </w:rPr>
        <w:t xml:space="preserve">Tahapan: case folding, penghapusan URL, simbol, dan angka; penghapusan stopword bahasa Indonesia; serta penyaringan token pendek. Teks bersih kemudian dibobotkan dengan TF-IDF (unigram, maksimum 5000 fitur).</w:t>
      </w:r>
    </w:p>
    <w:p>
      <w:pPr>
        <w:spacing w:after="60"/>
        <w:jc w:val="both"/>
      </w:pPr>
      <w:r>
        <w:rPr>
          <w:rFonts w:ascii="Times New Roman" w:cs="Times New Roman" w:eastAsia="Times New Roman" w:hAnsi="Times New Roman"/>
          <w:b/>
          <w:bCs/>
          <w:sz w:val="22"/>
          <w:szCs w:val="22"/>
        </w:rPr>
        <w:t xml:space="preserve">C. Model</w:t>
      </w:r>
    </w:p>
    <w:p>
      <w:pPr>
        <w:spacing w:after="100"/>
        <w:jc w:val="both"/>
      </w:pPr>
      <w:r>
        <w:rPr>
          <w:rFonts w:ascii="Times New Roman" w:cs="Times New Roman" w:eastAsia="Times New Roman" w:hAnsi="Times New Roman"/>
          <w:sz w:val="22"/>
          <w:szCs w:val="22"/>
        </w:rPr>
        <w:t xml:space="preserve">Metode usulan adalah Multinomial Naïve Bayes dengan pencarian parameter alpha pada rentang {0,01; 0,1; 0,5; 1,0}. Sebagai pembanding digunakan SVM linear dan Logistic Regression dengan fitur TF-IDF yang sama.</w:t>
      </w:r>
    </w:p>
    <w:p>
      <w:pPr>
        <w:pBdr>
          <w:top w:val="single" w:color="E0A800" w:sz="2" w:space="4"/>
          <w:left w:val="single" w:color="E0A800" w:sz="16" w:space="6"/>
          <w:bottom w:val="single" w:color="E0A800" w:sz="2" w:space="4"/>
          <w:right w:val="single" w:color="E0A800" w:sz="2" w:space="4"/>
        </w:pBdr>
        <w:shd w:fill="FFF6D5" w:val="clear"/>
        <w:spacing w:after="120" w:before="20"/>
      </w:pPr>
      <w:r>
        <w:rPr>
          <w:rFonts w:ascii="Times New Roman" w:cs="Times New Roman" w:eastAsia="Times New Roman" w:hAnsi="Times New Roman"/>
          <w:b/>
          <w:bCs/>
          <w:color w:val="8A6D00"/>
          <w:sz w:val="18"/>
          <w:szCs w:val="18"/>
        </w:rPr>
        <w:t xml:space="preserve">ISI SENDIRI: </w:t>
      </w:r>
      <w:r>
        <w:rPr>
          <w:rFonts w:ascii="Times New Roman" w:cs="Times New Roman" w:eastAsia="Times New Roman" w:hAnsi="Times New Roman"/>
          <w:i/>
          <w:iCs/>
          <w:sz w:val="18"/>
          <w:szCs w:val="18"/>
        </w:rPr>
        <w:t xml:space="preserve">Sisipkan diagram framework penelitian dari 08_Visualisasi di sini.</w:t>
      </w:r>
    </w:p>
    <w:p>
      <w:pPr>
        <w:pStyle w:val="Heading1"/>
        <w:spacing w:after="100" w:before="240"/>
      </w:pPr>
      <w:r>
        <w:rPr>
          <w:rFonts w:ascii="Times New Roman" w:cs="Times New Roman" w:eastAsia="Times New Roman" w:hAnsi="Times New Roman"/>
          <w:b/>
          <w:bCs/>
          <w:sz w:val="24"/>
          <w:szCs w:val="24"/>
        </w:rPr>
        <w:t xml:space="preserve">IV. Pengaturan Eksperimen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pPr>
              <w:jc w:val="left"/>
            </w:pPr>
            <w:r>
              <w:rPr>
                <w:rFonts w:ascii="Times New Roman" w:cs="Times New Roman" w:eastAsia="Times New Roman" w:hAnsi="Times New Roman"/>
                <w:b/>
                <w:bCs/>
                <w:sz w:val="18"/>
                <w:szCs w:val="18"/>
              </w:rPr>
              <w:t xml:space="preserve">Dataset</w:t>
            </w:r>
          </w:p>
        </w:tc>
        <w:tc>
          <w:tcPr>
            <w:tcW w:type="dxa" w:w="6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sz w:val="18"/>
                <w:szCs w:val="18"/>
              </w:rPr>
              <w:t xml:space="preserve">Indonesian Hoax News Detection (600 berita)</w:t>
            </w:r>
          </w:p>
        </w:tc>
      </w:tr>
      <w:tr>
        <w:tc>
          <w:tcPr>
            <w:tcW w:type="dxa" w:w="336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pPr>
              <w:jc w:val="left"/>
            </w:pPr>
            <w:r>
              <w:rPr>
                <w:rFonts w:ascii="Times New Roman" w:cs="Times New Roman" w:eastAsia="Times New Roman" w:hAnsi="Times New Roman"/>
                <w:b/>
                <w:bCs/>
                <w:sz w:val="18"/>
                <w:szCs w:val="18"/>
              </w:rPr>
              <w:t xml:space="preserve">Sumber</w:t>
            </w:r>
          </w:p>
        </w:tc>
        <w:tc>
          <w:tcPr>
            <w:tcW w:type="dxa" w:w="6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sz w:val="18"/>
                <w:szCs w:val="18"/>
              </w:rPr>
              <w:t xml:space="preserve">Mendeley, DOI 10.17632/p3hfgr5j3m.1 (CC BY 4.0)</w:t>
            </w:r>
          </w:p>
        </w:tc>
      </w:tr>
      <w:tr>
        <w:tc>
          <w:tcPr>
            <w:tcW w:type="dxa" w:w="336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pPr>
              <w:jc w:val="left"/>
            </w:pPr>
            <w:r>
              <w:rPr>
                <w:rFonts w:ascii="Times New Roman" w:cs="Times New Roman" w:eastAsia="Times New Roman" w:hAnsi="Times New Roman"/>
                <w:b/>
                <w:bCs/>
                <w:sz w:val="18"/>
                <w:szCs w:val="18"/>
              </w:rPr>
              <w:t xml:space="preserve">Distribusi kelas</w:t>
            </w:r>
          </w:p>
        </w:tc>
        <w:tc>
          <w:tcPr>
            <w:tcW w:type="dxa" w:w="6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sz w:val="18"/>
                <w:szCs w:val="18"/>
              </w:rPr>
              <w:t xml:space="preserve">Valid 372 (62%), Hoaks 228 (38%)</w:t>
            </w:r>
          </w:p>
        </w:tc>
      </w:tr>
      <w:tr>
        <w:tc>
          <w:tcPr>
            <w:tcW w:type="dxa" w:w="336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pPr>
              <w:jc w:val="left"/>
            </w:pPr>
            <w:r>
              <w:rPr>
                <w:rFonts w:ascii="Times New Roman" w:cs="Times New Roman" w:eastAsia="Times New Roman" w:hAnsi="Times New Roman"/>
                <w:b/>
                <w:bCs/>
                <w:sz w:val="18"/>
                <w:szCs w:val="18"/>
              </w:rPr>
              <w:t xml:space="preserve">Ekstraksi fitur</w:t>
            </w:r>
          </w:p>
        </w:tc>
        <w:tc>
          <w:tcPr>
            <w:tcW w:type="dxa" w:w="6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sz w:val="18"/>
                <w:szCs w:val="18"/>
              </w:rPr>
              <w:t xml:space="preserve">TF-IDF unigram, max 5000 fitur</w:t>
            </w:r>
          </w:p>
        </w:tc>
      </w:tr>
      <w:tr>
        <w:tc>
          <w:tcPr>
            <w:tcW w:type="dxa" w:w="336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pPr>
              <w:jc w:val="left"/>
            </w:pPr>
            <w:r>
              <w:rPr>
                <w:rFonts w:ascii="Times New Roman" w:cs="Times New Roman" w:eastAsia="Times New Roman" w:hAnsi="Times New Roman"/>
                <w:b/>
                <w:bCs/>
                <w:sz w:val="18"/>
                <w:szCs w:val="18"/>
              </w:rPr>
              <w:t xml:space="preserve">Metode usulan</w:t>
            </w:r>
          </w:p>
        </w:tc>
        <w:tc>
          <w:tcPr>
            <w:tcW w:type="dxa" w:w="6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sz w:val="18"/>
                <w:szCs w:val="18"/>
              </w:rPr>
              <w:t xml:space="preserve">Multinomial Naïve Bayes (alpha terbaik 0,01)</w:t>
            </w:r>
          </w:p>
        </w:tc>
      </w:tr>
      <w:tr>
        <w:tc>
          <w:tcPr>
            <w:tcW w:type="dxa" w:w="336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pPr>
              <w:jc w:val="left"/>
            </w:pPr>
            <w:r>
              <w:rPr>
                <w:rFonts w:ascii="Times New Roman" w:cs="Times New Roman" w:eastAsia="Times New Roman" w:hAnsi="Times New Roman"/>
                <w:b/>
                <w:bCs/>
                <w:sz w:val="18"/>
                <w:szCs w:val="18"/>
              </w:rPr>
              <w:t xml:space="preserve">Baseline</w:t>
            </w:r>
          </w:p>
        </w:tc>
        <w:tc>
          <w:tcPr>
            <w:tcW w:type="dxa" w:w="6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sz w:val="18"/>
                <w:szCs w:val="18"/>
              </w:rPr>
              <w:t xml:space="preserve">SVM linear; Logistic Regression</w:t>
            </w:r>
          </w:p>
        </w:tc>
      </w:tr>
      <w:tr>
        <w:tc>
          <w:tcPr>
            <w:tcW w:type="dxa" w:w="336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pPr>
              <w:jc w:val="left"/>
            </w:pPr>
            <w:r>
              <w:rPr>
                <w:rFonts w:ascii="Times New Roman" w:cs="Times New Roman" w:eastAsia="Times New Roman" w:hAnsi="Times New Roman"/>
                <w:b/>
                <w:bCs/>
                <w:sz w:val="18"/>
                <w:szCs w:val="18"/>
              </w:rPr>
              <w:t xml:space="preserve">Skema split</w:t>
            </w:r>
          </w:p>
        </w:tc>
        <w:tc>
          <w:tcPr>
            <w:tcW w:type="dxa" w:w="6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sz w:val="18"/>
                <w:szCs w:val="18"/>
              </w:rPr>
              <w:t xml:space="preserve">60-40, 70-30, 80-20 (stratified, seed 42)</w:t>
            </w:r>
          </w:p>
        </w:tc>
      </w:tr>
      <w:tr>
        <w:tc>
          <w:tcPr>
            <w:tcW w:type="dxa" w:w="3360"/>
            <w:tcBorders>
              <w:top w:val="single" w:color="999999" w:sz="1"/>
              <w:left w:val="single" w:color="999999" w:sz="1"/>
              <w:bottom w:val="single" w:color="999999" w:sz="1"/>
              <w:right w:val="single" w:color="999999" w:sz="1"/>
            </w:tcBorders>
            <w:shd w:fill="EFEFEF" w:val="clear"/>
            <w:tcMar>
              <w:top w:type="dxa" w:w="60"/>
              <w:left w:type="dxa" w:w="110"/>
              <w:bottom w:type="dxa" w:w="60"/>
              <w:right w:type="dxa" w:w="110"/>
            </w:tcMar>
          </w:tcPr>
          <w:p>
            <w:pPr>
              <w:jc w:val="left"/>
            </w:pPr>
            <w:r>
              <w:rPr>
                <w:rFonts w:ascii="Times New Roman" w:cs="Times New Roman" w:eastAsia="Times New Roman" w:hAnsi="Times New Roman"/>
                <w:b/>
                <w:bCs/>
                <w:sz w:val="18"/>
                <w:szCs w:val="18"/>
              </w:rPr>
              <w:t xml:space="preserve">Metrik</w:t>
            </w:r>
          </w:p>
        </w:tc>
        <w:tc>
          <w:tcPr>
            <w:tcW w:type="dxa" w:w="6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sz w:val="18"/>
                <w:szCs w:val="18"/>
              </w:rPr>
              <w:t xml:space="preserve">Accuracy, Precision, Recall, F1-score</w:t>
            </w:r>
          </w:p>
        </w:tc>
      </w:tr>
    </w:tbl>
    <w:p>
      <w:pPr>
        <w:pStyle w:val="Heading1"/>
        <w:spacing w:after="100" w:before="240"/>
      </w:pPr>
      <w:r>
        <w:rPr>
          <w:rFonts w:ascii="Times New Roman" w:cs="Times New Roman" w:eastAsia="Times New Roman" w:hAnsi="Times New Roman"/>
          <w:b/>
          <w:bCs/>
          <w:sz w:val="24"/>
          <w:szCs w:val="24"/>
        </w:rPr>
        <w:t xml:space="preserve">V. Hasil dan Pembahasan</w:t>
      </w:r>
    </w:p>
    <w:p>
      <w:pPr>
        <w:spacing w:after="80"/>
        <w:jc w:val="both"/>
      </w:pPr>
      <w:r>
        <w:rPr>
          <w:rFonts w:ascii="Times New Roman" w:cs="Times New Roman" w:eastAsia="Times New Roman" w:hAnsi="Times New Roman"/>
          <w:sz w:val="22"/>
          <w:szCs w:val="22"/>
        </w:rPr>
        <w:t xml:space="preserve">Tabel I menyajikan hasil tiap model pada tiga skema pembagian data.</w:t>
      </w:r>
    </w:p>
    <w:p>
      <w:pPr>
        <w:spacing w:after="60"/>
        <w:jc w:val="center"/>
      </w:pPr>
      <w:r>
        <w:rPr>
          <w:rFonts w:ascii="Times New Roman" w:cs="Times New Roman" w:eastAsia="Times New Roman" w:hAnsi="Times New Roman"/>
          <w:b/>
          <w:bCs/>
          <w:sz w:val="22"/>
          <w:szCs w:val="22"/>
        </w:rPr>
        <w:t xml:space="preserve">Tabel I. Hasil per Skema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100"/>
        <w:gridCol w:w="1300"/>
        <w:gridCol w:w="1300"/>
        <w:gridCol w:w="1300"/>
        <w:gridCol w:w="1500"/>
      </w:tblGrid>
      <w:tr>
        <w:tc>
          <w:tcPr>
            <w:tcW w:type="dxa" w:w="2860"/>
            <w:tcBorders>
              <w:top w:val="single" w:color="999999" w:sz="1"/>
              <w:left w:val="single" w:color="999999" w:sz="1"/>
              <w:bottom w:val="single" w:color="999999" w:sz="1"/>
              <w:right w:val="single" w:color="999999" w:sz="1"/>
            </w:tcBorders>
            <w:shd w:fill="D9D9D9" w:val="clear"/>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Model</w:t>
            </w:r>
          </w:p>
        </w:tc>
        <w:tc>
          <w:tcPr>
            <w:tcW w:type="dxa" w:w="1100"/>
            <w:tcBorders>
              <w:top w:val="single" w:color="999999" w:sz="1"/>
              <w:left w:val="single" w:color="999999" w:sz="1"/>
              <w:bottom w:val="single" w:color="999999" w:sz="1"/>
              <w:right w:val="single" w:color="999999" w:sz="1"/>
            </w:tcBorders>
            <w:shd w:fill="D9D9D9" w:val="clear"/>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Split</w:t>
            </w:r>
          </w:p>
        </w:tc>
        <w:tc>
          <w:tcPr>
            <w:tcW w:type="dxa" w:w="1300"/>
            <w:tcBorders>
              <w:top w:val="single" w:color="999999" w:sz="1"/>
              <w:left w:val="single" w:color="999999" w:sz="1"/>
              <w:bottom w:val="single" w:color="999999" w:sz="1"/>
              <w:right w:val="single" w:color="999999" w:sz="1"/>
            </w:tcBorders>
            <w:shd w:fill="D9D9D9" w:val="clear"/>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Acc</w:t>
            </w:r>
          </w:p>
        </w:tc>
        <w:tc>
          <w:tcPr>
            <w:tcW w:type="dxa" w:w="1300"/>
            <w:tcBorders>
              <w:top w:val="single" w:color="999999" w:sz="1"/>
              <w:left w:val="single" w:color="999999" w:sz="1"/>
              <w:bottom w:val="single" w:color="999999" w:sz="1"/>
              <w:right w:val="single" w:color="999999" w:sz="1"/>
            </w:tcBorders>
            <w:shd w:fill="D9D9D9" w:val="clear"/>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Prec</w:t>
            </w:r>
          </w:p>
        </w:tc>
        <w:tc>
          <w:tcPr>
            <w:tcW w:type="dxa" w:w="1300"/>
            <w:tcBorders>
              <w:top w:val="single" w:color="999999" w:sz="1"/>
              <w:left w:val="single" w:color="999999" w:sz="1"/>
              <w:bottom w:val="single" w:color="999999" w:sz="1"/>
              <w:right w:val="single" w:color="999999" w:sz="1"/>
            </w:tcBorders>
            <w:shd w:fill="D9D9D9" w:val="clear"/>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Rec</w:t>
            </w:r>
          </w:p>
        </w:tc>
        <w:tc>
          <w:tcPr>
            <w:tcW w:type="dxa" w:w="1500"/>
            <w:tcBorders>
              <w:top w:val="single" w:color="999999" w:sz="1"/>
              <w:left w:val="single" w:color="999999" w:sz="1"/>
              <w:bottom w:val="single" w:color="999999" w:sz="1"/>
              <w:right w:val="single" w:color="999999" w:sz="1"/>
            </w:tcBorders>
            <w:shd w:fill="D9D9D9" w:val="clear"/>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F1</w:t>
            </w:r>
          </w:p>
        </w:tc>
      </w:tr>
      <w:tr>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NB (usulan)</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60-40</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0,721</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0,615</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0,703</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0,656</w:t>
            </w:r>
          </w:p>
        </w:tc>
      </w:tr>
      <w:tr>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SVM</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60-40</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0,750</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0,670</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0,670</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0,670</w:t>
            </w:r>
          </w:p>
        </w:tc>
      </w:tr>
      <w:tr>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LR</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60-40</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0,721</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0,773</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0,374</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0,504</w:t>
            </w:r>
          </w:p>
        </w:tc>
      </w:tr>
      <w:tr>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NB (usulan)</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70-30</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0,711</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0,608</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0,662</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0,634</w:t>
            </w:r>
          </w:p>
        </w:tc>
      </w:tr>
      <w:tr>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SVM</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70-30</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0,744</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0,677</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0,618</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0,646</w:t>
            </w:r>
          </w:p>
        </w:tc>
      </w:tr>
      <w:tr>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LR</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70-30</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0,722</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0,765</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0,382</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0,510</w:t>
            </w:r>
          </w:p>
        </w:tc>
      </w:tr>
      <w:tr>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NB (usulan)</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80-20</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0,733</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0,640</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0,696</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0,667</w:t>
            </w:r>
          </w:p>
        </w:tc>
      </w:tr>
      <w:tr>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SVM</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80-20</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0,733</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0,659</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0,630</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0,644</w:t>
            </w:r>
          </w:p>
        </w:tc>
      </w:tr>
      <w:tr>
        <w:tc>
          <w:tcPr>
            <w:tcW w:type="dxa" w:w="28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LR</w:t>
            </w:r>
          </w:p>
        </w:tc>
        <w:tc>
          <w:tcPr>
            <w:tcW w:type="dxa" w:w="11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80-20</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0,742</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0,759</w:t>
            </w:r>
          </w:p>
        </w:tc>
        <w:tc>
          <w:tcPr>
            <w:tcW w:type="dxa" w:w="13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0,478</w:t>
            </w:r>
          </w:p>
        </w:tc>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sz w:val="18"/>
                <w:szCs w:val="18"/>
              </w:rPr>
              <w:t xml:space="preserve">0,587</w:t>
            </w:r>
          </w:p>
        </w:tc>
      </w:tr>
    </w:tbl>
    <w:p>
      <w:pPr>
        <w:spacing w:after="60"/>
        <w:jc w:val="both"/>
      </w:pPr>
      <w:r>
        <w:rPr>
          <w:rFonts w:ascii="Times New Roman" w:cs="Times New Roman" w:eastAsia="Times New Roman" w:hAnsi="Times New Roman"/>
          <w:sz w:val="22"/>
          <w:szCs w:val="22"/>
        </w:rPr>
        <w:t xml:space="preserve"/>
      </w:r>
    </w:p>
    <w:p>
      <w:pPr>
        <w:spacing w:after="60"/>
        <w:jc w:val="center"/>
      </w:pPr>
      <w:r>
        <w:rPr>
          <w:rFonts w:ascii="Times New Roman" w:cs="Times New Roman" w:eastAsia="Times New Roman" w:hAnsi="Times New Roman"/>
          <w:b/>
          <w:bCs/>
          <w:sz w:val="22"/>
          <w:szCs w:val="22"/>
        </w:rPr>
        <w:t xml:space="preserve">Tabel II. Rata-rata Antar Skema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400"/>
        <w:gridCol w:w="1400"/>
      </w:tblGrid>
      <w:tr>
        <w:tc>
          <w:tcPr>
            <w:tcW w:type="dxa" w:w="3760"/>
            <w:tcBorders>
              <w:top w:val="single" w:color="999999" w:sz="1"/>
              <w:left w:val="single" w:color="999999" w:sz="1"/>
              <w:bottom w:val="single" w:color="999999" w:sz="1"/>
              <w:right w:val="single" w:color="999999" w:sz="1"/>
            </w:tcBorders>
            <w:shd w:fill="D9D9D9" w:val="clear"/>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Model</w:t>
            </w:r>
          </w:p>
        </w:tc>
        <w:tc>
          <w:tcPr>
            <w:tcW w:type="dxa" w:w="1400"/>
            <w:tcBorders>
              <w:top w:val="single" w:color="999999" w:sz="1"/>
              <w:left w:val="single" w:color="999999" w:sz="1"/>
              <w:bottom w:val="single" w:color="999999" w:sz="1"/>
              <w:right w:val="single" w:color="999999" w:sz="1"/>
            </w:tcBorders>
            <w:shd w:fill="D9D9D9" w:val="clear"/>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Acc</w:t>
            </w:r>
          </w:p>
        </w:tc>
        <w:tc>
          <w:tcPr>
            <w:tcW w:type="dxa" w:w="1400"/>
            <w:tcBorders>
              <w:top w:val="single" w:color="999999" w:sz="1"/>
              <w:left w:val="single" w:color="999999" w:sz="1"/>
              <w:bottom w:val="single" w:color="999999" w:sz="1"/>
              <w:right w:val="single" w:color="999999" w:sz="1"/>
            </w:tcBorders>
            <w:shd w:fill="D9D9D9" w:val="clear"/>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Prec</w:t>
            </w:r>
          </w:p>
        </w:tc>
        <w:tc>
          <w:tcPr>
            <w:tcW w:type="dxa" w:w="1400"/>
            <w:tcBorders>
              <w:top w:val="single" w:color="999999" w:sz="1"/>
              <w:left w:val="single" w:color="999999" w:sz="1"/>
              <w:bottom w:val="single" w:color="999999" w:sz="1"/>
              <w:right w:val="single" w:color="999999" w:sz="1"/>
            </w:tcBorders>
            <w:shd w:fill="D9D9D9" w:val="clear"/>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Rec</w:t>
            </w:r>
          </w:p>
        </w:tc>
        <w:tc>
          <w:tcPr>
            <w:tcW w:type="dxa" w:w="1400"/>
            <w:tcBorders>
              <w:top w:val="single" w:color="999999" w:sz="1"/>
              <w:left w:val="single" w:color="999999" w:sz="1"/>
              <w:bottom w:val="single" w:color="999999" w:sz="1"/>
              <w:right w:val="single" w:color="999999" w:sz="1"/>
            </w:tcBorders>
            <w:shd w:fill="D9D9D9" w:val="clear"/>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F1</w:t>
            </w:r>
          </w:p>
        </w:tc>
      </w:tr>
      <w:tr>
        <w:tc>
          <w:tcPr>
            <w:tcW w:type="dxa" w:w="3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SVM (baseline)</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18"/>
                <w:szCs w:val="18"/>
              </w:rPr>
              <w:t xml:space="preserve">0,743</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18"/>
                <w:szCs w:val="18"/>
              </w:rPr>
              <w:t xml:space="preserve">0,669</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18"/>
                <w:szCs w:val="18"/>
              </w:rPr>
              <w:t xml:space="preserve">0,639</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18"/>
                <w:szCs w:val="18"/>
              </w:rPr>
              <w:t xml:space="preserve">0,654</w:t>
            </w:r>
          </w:p>
        </w:tc>
      </w:tr>
      <w:tr>
        <w:tc>
          <w:tcPr>
            <w:tcW w:type="dxa" w:w="3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NB (usulan)</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18"/>
                <w:szCs w:val="18"/>
              </w:rPr>
              <w:t xml:space="preserve">0,722</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18"/>
                <w:szCs w:val="18"/>
              </w:rPr>
              <w:t xml:space="preserve">0,621</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18"/>
                <w:szCs w:val="18"/>
              </w:rPr>
              <w:t xml:space="preserve">0,687</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18"/>
                <w:szCs w:val="18"/>
              </w:rPr>
              <w:t xml:space="preserve">0,652</w:t>
            </w:r>
          </w:p>
        </w:tc>
      </w:tr>
      <w:tr>
        <w:tc>
          <w:tcPr>
            <w:tcW w:type="dxa" w:w="3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bCs/>
                <w:sz w:val="18"/>
                <w:szCs w:val="18"/>
              </w:rPr>
              <w:t xml:space="preserve">LR (baseline)</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18"/>
                <w:szCs w:val="18"/>
              </w:rPr>
              <w:t xml:space="preserve">0,728</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18"/>
                <w:szCs w:val="18"/>
              </w:rPr>
              <w:t xml:space="preserve">0,765</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18"/>
                <w:szCs w:val="18"/>
              </w:rPr>
              <w:t xml:space="preserve">0,411</w:t>
            </w:r>
          </w:p>
        </w:tc>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18"/>
                <w:szCs w:val="18"/>
              </w:rPr>
              <w:t xml:space="preserve">0,533</w:t>
            </w:r>
          </w:p>
        </w:tc>
      </w:tr>
    </w:tbl>
    <w:p>
      <w:pPr>
        <w:spacing w:after="80"/>
        <w:jc w:val="both"/>
      </w:pPr>
      <w:r>
        <w:rPr>
          <w:rFonts w:ascii="Times New Roman" w:cs="Times New Roman" w:eastAsia="Times New Roman" w:hAnsi="Times New Roman"/>
          <w:sz w:val="22"/>
          <w:szCs w:val="22"/>
        </w:rPr>
        <w:t xml:space="preserve"/>
      </w:r>
    </w:p>
    <w:p>
      <w:pPr>
        <w:spacing w:after="100"/>
        <w:jc w:val="both"/>
      </w:pPr>
      <w:r>
        <w:rPr>
          <w:rFonts w:ascii="Times New Roman" w:cs="Times New Roman" w:eastAsia="Times New Roman" w:hAnsi="Times New Roman"/>
          <w:sz w:val="22"/>
          <w:szCs w:val="22"/>
        </w:rPr>
        <w:t xml:space="preserve">Pembahasan. Metode usulan NB memperoleh akurasi rata-rata 72,2% dan F1-score 65,2%, hampir setara dengan SVM (F1 65,4%) dan lebih baik dari LR (F1 53,3%). Kelebihan NB terlihat pada recall (68,7%), yang menunjukkan kemampuan lebih baik dalam menangkap kelas hoaks; hal ini penting karena kegagalan mendeteksi hoaks lebih berisiko daripada salah menandai berita valid. Sebaliknya, LR memiliki presisi tinggi (76,5%) namun recall rendah (41,1%), sehingga banyak hoaks lolos tak terdeteksi.</w:t>
      </w:r>
    </w:p>
    <w:p>
      <w:pPr>
        <w:spacing w:after="100"/>
        <w:jc w:val="both"/>
      </w:pPr>
      <w:r>
        <w:rPr>
          <w:rFonts w:ascii="Times New Roman" w:cs="Times New Roman" w:eastAsia="Times New Roman" w:hAnsi="Times New Roman"/>
          <w:sz w:val="22"/>
          <w:szCs w:val="22"/>
        </w:rPr>
        <w:t xml:space="preserve">Akurasi yang diperoleh lebih rendah dibanding sebagian penelitian terdahulu pada dataset serupa. Hal ini diduga disebabkan oleh prapemrosesan yang lebih sederhana (tanpa stemming) dan ukuran dataset yang relatif kecil (600 sampel). Penggunaan stemming bahasa Indonesia (mis. Sastrawi) dan dataset lebih besar berpotensi meningkatkan performa.</w:t>
      </w:r>
    </w:p>
    <w:p>
      <w:pPr>
        <w:pBdr>
          <w:top w:val="single" w:color="E0A800" w:sz="2" w:space="4"/>
          <w:left w:val="single" w:color="E0A800" w:sz="16" w:space="6"/>
          <w:bottom w:val="single" w:color="E0A800" w:sz="2" w:space="4"/>
          <w:right w:val="single" w:color="E0A800" w:sz="2" w:space="4"/>
        </w:pBdr>
        <w:shd w:fill="FFF6D5" w:val="clear"/>
        <w:spacing w:after="120" w:before="20"/>
      </w:pPr>
      <w:r>
        <w:rPr>
          <w:rFonts w:ascii="Times New Roman" w:cs="Times New Roman" w:eastAsia="Times New Roman" w:hAnsi="Times New Roman"/>
          <w:b/>
          <w:bCs/>
          <w:color w:val="8A6D00"/>
          <w:sz w:val="18"/>
          <w:szCs w:val="18"/>
        </w:rPr>
        <w:t xml:space="preserve">ISI SENDIRI: </w:t>
      </w:r>
      <w:r>
        <w:rPr>
          <w:rFonts w:ascii="Times New Roman" w:cs="Times New Roman" w:eastAsia="Times New Roman" w:hAnsi="Times New Roman"/>
          <w:i/>
          <w:iCs/>
          <w:sz w:val="18"/>
          <w:szCs w:val="18"/>
        </w:rPr>
        <w:t xml:space="preserve">Sisipkan gambar confusion matrix (08_Visualisasi/confusion_NB_80-20.png) dan grafik perbandingan di sini, lalu rujuk dalam teks (mis. "Gambar 2 menunjukkan...").</w:t>
      </w:r>
    </w:p>
    <w:p>
      <w:pPr>
        <w:pStyle w:val="Heading1"/>
        <w:spacing w:after="100" w:before="240"/>
      </w:pPr>
      <w:r>
        <w:rPr>
          <w:rFonts w:ascii="Times New Roman" w:cs="Times New Roman" w:eastAsia="Times New Roman" w:hAnsi="Times New Roman"/>
          <w:b/>
          <w:bCs/>
          <w:sz w:val="24"/>
          <w:szCs w:val="24"/>
        </w:rPr>
        <w:t xml:space="preserve">VI. Kesimpulan</w:t>
      </w:r>
    </w:p>
    <w:p>
      <w:pPr>
        <w:spacing w:after="100"/>
        <w:jc w:val="both"/>
      </w:pPr>
      <w:r>
        <w:rPr>
          <w:rFonts w:ascii="Times New Roman" w:cs="Times New Roman" w:eastAsia="Times New Roman" w:hAnsi="Times New Roman"/>
          <w:sz w:val="22"/>
          <w:szCs w:val="22"/>
        </w:rPr>
        <w:t xml:space="preserve">Replikasi metode Multinomial Naïve Bayes dengan TF-IDF untuk deteksi berita hoaks berbahasa Indonesia menghasilkan akurasi rata-rata 72,2% dan F1-score 65,2% pada dataset 600 berita. Metode usulan kompetitif terhadap SVM dan unggul dalam recall dibanding Logistic Regression, sehingga tetap relevan sebagai pendekatan ringan. Keterbatasan utama adalah prapemrosesan sederhana dan ukuran dataset; penelitian lanjutan disarankan menambahkan stemming, memperbesar dataset, dan menguji model ensemble.</w:t>
      </w:r>
    </w:p>
    <w:p>
      <w:pPr>
        <w:pStyle w:val="Heading1"/>
        <w:spacing w:after="100" w:before="240"/>
      </w:pPr>
      <w:r>
        <w:rPr>
          <w:rFonts w:ascii="Times New Roman" w:cs="Times New Roman" w:eastAsia="Times New Roman" w:hAnsi="Times New Roman"/>
          <w:b/>
          <w:bCs/>
          <w:sz w:val="24"/>
          <w:szCs w:val="24"/>
        </w:rPr>
        <w:t xml:space="preserve">Daftar Pustaka</w:t>
      </w:r>
    </w:p>
    <w:p>
      <w:pPr>
        <w:pBdr>
          <w:top w:val="single" w:color="E0A800" w:sz="2" w:space="4"/>
          <w:left w:val="single" w:color="E0A800" w:sz="16" w:space="6"/>
          <w:bottom w:val="single" w:color="E0A800" w:sz="2" w:space="4"/>
          <w:right w:val="single" w:color="E0A800" w:sz="2" w:space="4"/>
        </w:pBdr>
        <w:shd w:fill="FFF6D5" w:val="clear"/>
        <w:spacing w:after="120" w:before="20"/>
      </w:pPr>
      <w:r>
        <w:rPr>
          <w:rFonts w:ascii="Times New Roman" w:cs="Times New Roman" w:eastAsia="Times New Roman" w:hAnsi="Times New Roman"/>
          <w:b/>
          <w:bCs/>
          <w:color w:val="8A6D00"/>
          <w:sz w:val="18"/>
          <w:szCs w:val="18"/>
        </w:rPr>
        <w:t xml:space="preserve">ISI SENDIRI: </w:t>
      </w:r>
      <w:r>
        <w:rPr>
          <w:rFonts w:ascii="Times New Roman" w:cs="Times New Roman" w:eastAsia="Times New Roman" w:hAnsi="Times New Roman"/>
          <w:i/>
          <w:iCs/>
          <w:sz w:val="18"/>
          <w:szCs w:val="18"/>
        </w:rPr>
        <w:t xml:space="preserve">Minimal 20 referensi format IEEE, di antaranya &gt;=10 paper bereputasi 2021-2026. Verifikasi status SINTA/Scopus tiap referensi utama.</w:t>
      </w:r>
    </w:p>
    <w:p>
      <w:pPr>
        <w:pStyle w:val="ListParagraph"/>
        <w:numPr>
          <w:ilvl w:val="0"/>
          <w:numId w:val="2"/>
        </w:numPr>
        <w:spacing w:after="80"/>
      </w:pPr>
      <w:r>
        <w:rPr>
          <w:rFonts w:ascii="Times New Roman" w:cs="Times New Roman" w:eastAsia="Times New Roman" w:hAnsi="Times New Roman"/>
          <w:sz w:val="20"/>
          <w:szCs w:val="20"/>
        </w:rPr>
        <w:t xml:space="preserve">I. Y. R. Pratiwi, R. A. Asmara, and F. Rahutomo, "Study of hoax news detection using naïve bayes classifier in Indonesian language," in Proc. 2017 11th Int. Conf. Information &amp; Communication Technology and System (ICTS), Surabaya, 2017, pp. 73–78, doi: 10.1109/ICTS.2017.8265649.</w:t>
      </w:r>
    </w:p>
    <w:p>
      <w:pPr>
        <w:pStyle w:val="ListParagraph"/>
        <w:numPr>
          <w:ilvl w:val="0"/>
          <w:numId w:val="2"/>
        </w:numPr>
        <w:spacing w:after="80"/>
      </w:pPr>
      <w:r>
        <w:rPr>
          <w:rFonts w:ascii="Times New Roman" w:cs="Times New Roman" w:eastAsia="Times New Roman" w:hAnsi="Times New Roman"/>
          <w:sz w:val="20"/>
          <w:szCs w:val="20"/>
        </w:rPr>
        <w:t xml:space="preserve"/>
      </w:r>
    </w:p>
    <w:p>
      <w:pPr>
        <w:pStyle w:val="ListParagraph"/>
        <w:numPr>
          <w:ilvl w:val="0"/>
          <w:numId w:val="2"/>
        </w:numPr>
        <w:spacing w:after="80"/>
      </w:pPr>
      <w:r>
        <w:rPr>
          <w:rFonts w:ascii="Times New Roman" w:cs="Times New Roman" w:eastAsia="Times New Roman" w:hAnsi="Times New Roman"/>
          <w:sz w:val="20"/>
          <w:szCs w:val="20"/>
        </w:rPr>
        <w:t xml:space="preserve"/>
      </w:r>
    </w:p>
    <w:p>
      <w:pPr>
        <w:pStyle w:val="ListParagraph"/>
        <w:numPr>
          <w:ilvl w:val="0"/>
          <w:numId w:val="2"/>
        </w:numPr>
        <w:spacing w:after="80"/>
      </w:pPr>
      <w:r>
        <w:rPr>
          <w:rFonts w:ascii="Times New Roman" w:cs="Times New Roman" w:eastAsia="Times New Roman" w:hAnsi="Times New Roman"/>
          <w:sz w:val="20"/>
          <w:szCs w:val="20"/>
        </w:rPr>
        <w:t xml:space="preserve"/>
      </w:r>
    </w:p>
    <w:p>
      <w:pPr>
        <w:pStyle w:val="ListParagraph"/>
        <w:numPr>
          <w:ilvl w:val="0"/>
          <w:numId w:val="2"/>
        </w:numPr>
        <w:spacing w:after="80"/>
      </w:pPr>
      <w:r>
        <w:rPr>
          <w:rFonts w:ascii="Times New Roman" w:cs="Times New Roman" w:eastAsia="Times New Roman" w:hAnsi="Times New Roman"/>
          <w:sz w:val="20"/>
          <w:szCs w:val="20"/>
        </w:rPr>
        <w:t xml:space="preserve"/>
      </w:r>
    </w:p>
    <w:p>
      <w:pPr>
        <w:pStyle w:val="ListParagraph"/>
        <w:numPr>
          <w:ilvl w:val="0"/>
          <w:numId w:val="2"/>
        </w:numPr>
        <w:spacing w:after="80"/>
      </w:pPr>
      <w:r>
        <w:rPr>
          <w:rFonts w:ascii="Times New Roman" w:cs="Times New Roman" w:eastAsia="Times New Roman" w:hAnsi="Times New Roman"/>
          <w:sz w:val="20"/>
          <w:szCs w:val="2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2026-06-11T23:42:59.431Z</dcterms:created>
  <dcterms:modified xsi:type="dcterms:W3CDTF">2026-06-11T23:42:59.440Z</dcterms:modified>
</cp:coreProperties>
</file>

<file path=docProps/custom.xml><?xml version="1.0" encoding="utf-8"?>
<Properties xmlns="http://schemas.openxmlformats.org/officeDocument/2006/custom-properties" xmlns:vt="http://schemas.openxmlformats.org/officeDocument/2006/docPropsVTypes"/>
</file>