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F2560">
      <w:pPr>
        <w:spacing w:before="120" w:beforeLines="50" w:after="120" w:afterLines="50"/>
        <w:jc w:val="center"/>
        <w:rPr>
          <w:rFonts w:hint="eastAsia" w:ascii="方正小标宋简体" w:hAnsi="宋体" w:eastAsia="方正小标宋简体"/>
          <w:bCs/>
          <w:sz w:val="36"/>
          <w:szCs w:val="36"/>
        </w:rPr>
      </w:pPr>
      <w:r>
        <w:rPr>
          <w:rFonts w:hint="default" w:ascii="方正小标宋简体" w:hAnsi="宋体" w:eastAsia="方正小标宋简体"/>
          <w:bCs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7528560</wp:posOffset>
                </wp:positionH>
                <wp:positionV relativeFrom="paragraph">
                  <wp:posOffset>-515620</wp:posOffset>
                </wp:positionV>
                <wp:extent cx="254000" cy="227965"/>
                <wp:effectExtent l="8890" t="8890" r="16510" b="1714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TextEdit="1"/>
                      </wps:cNvSpPr>
                      <wps:spPr>
                        <a:xfrm>
                          <a:off x="0" y="0"/>
                          <a:ext cx="254000" cy="227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8000" cap="rnd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92.8pt;margin-top:-40.6pt;height:17.95pt;width:20pt;z-index:251660288;mso-width-relative:page;mso-height-relative:page;" fillcolor="#FFFFFF" filled="t" stroked="t" coordsize="21600,21600" o:gfxdata="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PH3fraAAAADQEAAA8AAAAAAAAA&#10;AQAgAAAAIgAAAGRycy9kb3ducmV2LnhtbFBLAQIUABQAAAAIAIdO4kC3rQOcDwIAAE8EAAAOAAAA&#10;AAAAAAEAIAAAACkBAABkcnMvZTJvRG9jLnhtbFBLBQYAAAAABgAGAFkBAACqBQAAAAA=&#10;">
                <v:fill on="t" focussize="0,0"/>
                <v:stroke weight="1.41732283464567pt" color="#000000" joinstyle="miter" endcap="round"/>
                <v:imagedata o:title=""/>
                <o:lock v:ext="edit" rotation="t" text="t" aspectratio="f"/>
              </v:rect>
            </w:pict>
          </mc:Fallback>
        </mc:AlternateContent>
      </w:r>
      <w:r>
        <w:rPr>
          <w:rFonts w:hint="default" w:ascii="方正小标宋简体" w:hAnsi="宋体" w:eastAsia="方正小标宋简体"/>
          <w:bCs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9683750</wp:posOffset>
                </wp:positionH>
                <wp:positionV relativeFrom="paragraph">
                  <wp:posOffset>-337185</wp:posOffset>
                </wp:positionV>
                <wp:extent cx="154940" cy="230505"/>
                <wp:effectExtent l="8890" t="8890" r="1397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TextEdit="1"/>
                      </wps:cNvSpPr>
                      <wps:spPr>
                        <a:xfrm>
                          <a:off x="0" y="0"/>
                          <a:ext cx="154940" cy="230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8000" cap="rnd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62.5pt;margin-top:-26.55pt;height:18.15pt;width:12.2pt;z-index:251659264;mso-width-relative:page;mso-height-relative:page;" fillcolor="#FFFFFF" filled="t" stroked="t" coordsize="21600,21600" o:gfxdata="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C051knbAAAADQEAAA8AAAAA&#10;AAAAAQAgAAAAIgAAAGRycy9kb3ducmV2LnhtbFBLAQIUABQAAAAIAIdO4kAC56wZEQIAAE8EAAAO&#10;AAAAAAAAAAEAIAAAACoBAABkcnMvZTJvRG9jLnhtbFBLBQYAAAAABgAGAFkBAACtBQAAAAA=&#10;">
                <v:fill on="t" focussize="0,0"/>
                <v:stroke weight="1.41732283464567pt" color="#000000" joinstyle="miter" endcap="round"/>
                <v:imagedata o:title=""/>
                <o:lock v:ext="edit" rotation="t" text="t" aspectratio="f"/>
              </v:rect>
            </w:pict>
          </mc:Fallback>
        </mc:AlternateContent>
      </w:r>
      <w:r>
        <w:rPr>
          <w:rFonts w:hint="eastAsia" w:ascii="方正小标宋简体" w:hAnsi="宋体" w:eastAsia="方正小标宋简体"/>
          <w:bCs/>
          <w:sz w:val="36"/>
          <w:szCs w:val="36"/>
          <w:lang w:val="en-US" w:eastAsia="zh-CN"/>
        </w:rPr>
        <w:t>本科</w:t>
      </w:r>
      <w:r>
        <w:rPr>
          <w:rFonts w:hint="eastAsia" w:ascii="方正小标宋简体" w:hAnsi="宋体" w:eastAsia="方正小标宋简体"/>
          <w:bCs/>
          <w:sz w:val="36"/>
          <w:szCs w:val="36"/>
        </w:rPr>
        <w:t>毕业论文（设计）开题报告</w:t>
      </w:r>
    </w:p>
    <w:p w14:paraId="10BA8AF5">
      <w:pPr>
        <w:rPr>
          <w:rFonts w:hint="eastAsia" w:ascii="宋体" w:hAnsi="宋体"/>
          <w:sz w:val="24"/>
          <w:u w:val="single"/>
          <w:lang w:eastAsia="zh-CN"/>
        </w:rPr>
      </w:pPr>
      <w:r>
        <w:rPr>
          <w:rFonts w:hint="eastAsia" w:ascii="宋体" w:hAnsi="宋体"/>
          <w:sz w:val="24"/>
        </w:rPr>
        <w:t>论文（设计）题</w:t>
      </w:r>
      <w:r>
        <w:rPr>
          <w:rFonts w:hint="eastAsia" w:ascii="宋体" w:hAnsi="宋体"/>
          <w:sz w:val="24"/>
          <w:lang w:val="en-US" w:eastAsia="zh-CN"/>
        </w:rPr>
        <w:t xml:space="preserve">目 </w:t>
      </w:r>
      <w:r>
        <w:rPr>
          <w:rFonts w:hint="eastAsia" w:ascii="宋体" w:hAnsi="宋体"/>
          <w:sz w:val="24"/>
          <w:u w:val="single"/>
        </w:rPr>
        <w:t>基于Trae CN AI 编程工具与 MCP 协议的无序合金模拟智能化系统设计与实现</w:t>
      </w:r>
      <w:bookmarkStart w:id="0" w:name="_GoBack"/>
      <w:bookmarkEnd w:id="0"/>
    </w:p>
    <w:p w14:paraId="3F8A3D6C">
      <w:pPr>
        <w:rPr>
          <w:rFonts w:hint="eastAsia" w:ascii="宋体" w:hAnsi="宋体"/>
          <w:sz w:val="24"/>
          <w:u w:val="single"/>
        </w:rPr>
      </w:pPr>
      <w:r>
        <w:rPr>
          <w:rFonts w:hint="eastAsia" w:ascii="宋体" w:hAnsi="宋体"/>
          <w:sz w:val="24"/>
        </w:rPr>
        <w:t xml:space="preserve">专业： </w:t>
      </w:r>
      <w:r>
        <w:rPr>
          <w:rFonts w:hint="eastAsia" w:ascii="宋体" w:hAnsi="宋体"/>
          <w:sz w:val="24"/>
          <w:u w:val="single"/>
        </w:rPr>
        <w:t xml:space="preserve">    物理学     </w:t>
      </w:r>
      <w:r>
        <w:rPr>
          <w:rFonts w:hint="eastAsia" w:ascii="宋体" w:hAnsi="宋体"/>
          <w:sz w:val="24"/>
        </w:rPr>
        <w:t xml:space="preserve">  学生姓名：</w:t>
      </w:r>
      <w:r>
        <w:rPr>
          <w:rFonts w:hint="eastAsia" w:ascii="宋体" w:hAnsi="宋体"/>
          <w:sz w:val="24"/>
          <w:u w:val="single"/>
        </w:rPr>
        <w:t xml:space="preserve">    </w:t>
      </w:r>
      <w:r>
        <w:rPr>
          <w:rFonts w:hint="eastAsia" w:ascii="宋体" w:hAnsi="宋体"/>
          <w:sz w:val="24"/>
          <w:u w:val="single"/>
          <w:lang w:val="en-US" w:eastAsia="zh-CN"/>
        </w:rPr>
        <w:t>曲春晔</w:t>
      </w:r>
      <w:r>
        <w:rPr>
          <w:rFonts w:ascii="宋体" w:hAnsi="宋体"/>
          <w:sz w:val="24"/>
          <w:u w:val="single"/>
        </w:rPr>
        <w:t xml:space="preserve">  </w:t>
      </w:r>
      <w:r>
        <w:rPr>
          <w:rFonts w:hint="eastAsia" w:ascii="宋体" w:hAnsi="宋体"/>
          <w:sz w:val="24"/>
          <w:u w:val="single"/>
        </w:rPr>
        <w:t xml:space="preserve">   </w:t>
      </w:r>
      <w:r>
        <w:rPr>
          <w:rFonts w:hint="eastAsia" w:ascii="宋体" w:hAnsi="宋体"/>
          <w:sz w:val="24"/>
        </w:rPr>
        <w:t xml:space="preserve">   学号：</w:t>
      </w:r>
      <w:r>
        <w:rPr>
          <w:rFonts w:hint="eastAsia" w:ascii="宋体" w:hAnsi="宋体"/>
          <w:sz w:val="24"/>
          <w:u w:val="single"/>
        </w:rPr>
        <w:t xml:space="preserve">  </w:t>
      </w:r>
      <w:r>
        <w:rPr>
          <w:rFonts w:hint="eastAsia" w:ascii="宋体" w:hAnsi="宋体"/>
          <w:sz w:val="24"/>
          <w:u w:val="single"/>
          <w:lang w:val="en-US" w:eastAsia="zh-CN"/>
        </w:rPr>
        <w:t>220800041</w:t>
      </w:r>
      <w:r>
        <w:rPr>
          <w:rFonts w:ascii="宋体" w:hAnsi="宋体"/>
          <w:sz w:val="24"/>
          <w:u w:val="single"/>
        </w:rPr>
        <w:t xml:space="preserve">            </w:t>
      </w:r>
      <w:r>
        <w:rPr>
          <w:rFonts w:hint="eastAsia" w:ascii="宋体" w:hAnsi="宋体"/>
          <w:sz w:val="24"/>
          <w:u w:val="single"/>
        </w:rPr>
        <w:t xml:space="preserve">     </w:t>
      </w:r>
    </w:p>
    <w:p w14:paraId="72622FA4">
      <w:pPr>
        <w:rPr>
          <w:rFonts w:hint="eastAsia" w:ascii="宋体" w:hAnsi="宋体"/>
          <w:sz w:val="24"/>
          <w:u w:val="single"/>
        </w:rPr>
      </w:pPr>
      <w:r>
        <w:rPr>
          <w:rFonts w:hint="eastAsia" w:ascii="宋体" w:hAnsi="宋体"/>
          <w:sz w:val="24"/>
        </w:rPr>
        <w:t>指导教师：</w:t>
      </w:r>
      <w:r>
        <w:rPr>
          <w:rFonts w:hint="eastAsia" w:ascii="宋体" w:hAnsi="宋体"/>
          <w:sz w:val="24"/>
          <w:u w:val="single"/>
        </w:rPr>
        <w:t xml:space="preserve">       练继春        </w:t>
      </w:r>
      <w:r>
        <w:rPr>
          <w:rFonts w:hint="eastAsia" w:ascii="宋体" w:hAnsi="宋体"/>
          <w:sz w:val="24"/>
        </w:rPr>
        <w:t xml:space="preserve">  职称：</w:t>
      </w:r>
      <w:r>
        <w:rPr>
          <w:rFonts w:hint="eastAsia" w:ascii="宋体" w:hAnsi="宋体"/>
          <w:sz w:val="24"/>
          <w:u w:val="single"/>
        </w:rPr>
        <w:t xml:space="preserve">     讲师       </w:t>
      </w:r>
    </w:p>
    <w:p w14:paraId="6C73A0F8">
      <w:pPr>
        <w:snapToGrid w:val="0"/>
        <w:rPr>
          <w:rFonts w:hint="eastAsia" w:ascii="宋体" w:hAnsi="宋体"/>
          <w:sz w:val="24"/>
          <w:u w:val="single"/>
        </w:rPr>
      </w:pP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8082"/>
      </w:tblGrid>
      <w:tr w14:paraId="46FD1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8" w:type="dxa"/>
            <w:noWrap w:val="0"/>
            <w:vAlign w:val="center"/>
          </w:tcPr>
          <w:p w14:paraId="71C3CA87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课题研究的现状</w:t>
            </w:r>
          </w:p>
        </w:tc>
        <w:tc>
          <w:tcPr>
            <w:tcW w:w="8082" w:type="dxa"/>
            <w:noWrap w:val="0"/>
            <w:vAlign w:val="center"/>
          </w:tcPr>
          <w:p w14:paraId="073164F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1. 无序合金模拟理论与工具现状</w:t>
            </w:r>
          </w:p>
          <w:p w14:paraId="7332557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无序合金的计算模拟依赖于四大核心构型技术：不可约构型生成、超胞构建、特殊准随机结构（SQS）搜索及有序结构小集合（SSOS）搜索。目前，相关物理计算代码已相对成熟。然而，现有工具链多为独立的脚本或传统软件包，存在“代码孤岛”现象。科研人员需手动处理不同模块间的文件流转与参数映射，不仅效率低下，且极易引入人为错误。如何将这些成熟的物理算法进行系统集成，实现自动化、智能化的流程调度，是当前材料计算领域亟待解决的实际问题。</w:t>
            </w:r>
          </w:p>
          <w:p w14:paraId="53D09BB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  <w:p w14:paraId="15C9805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2. 大模型在科学计算中的应用现状</w:t>
            </w:r>
          </w:p>
          <w:p w14:paraId="2C7731D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以 GLM、Qwen 为代表的大语言模型在代码理解与生成方面取得了突破性进展。MCP（Model Context Protocol）等标准化协议的出现，为大模型与本地科学计算工具之间建立了标准化的交互桥梁。然而，目前大模型在材料科学中的应用多局限于简单的代码编写辅助，尚未形成基于 MCP 协议、能够全自动理解物理逻辑并调度复杂模拟流程的智能体系统。Trae CN 作为支持 MCP 接入的 AI 编程环境，为实现这一目标提供了理想的平台支撑。</w:t>
            </w:r>
          </w:p>
          <w:p w14:paraId="2B5B919B">
            <w:pPr>
              <w:spacing w:line="300" w:lineRule="auto"/>
              <w:ind w:firstLine="480" w:firstLineChars="200"/>
              <w:rPr>
                <w:rFonts w:hint="eastAsia" w:ascii="Times New Roman" w:hAnsi="Times New Roman"/>
                <w:sz w:val="24"/>
              </w:rPr>
            </w:pPr>
          </w:p>
        </w:tc>
      </w:tr>
      <w:tr w14:paraId="1DB92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8" w:type="dxa"/>
            <w:noWrap w:val="0"/>
            <w:vAlign w:val="center"/>
          </w:tcPr>
          <w:p w14:paraId="7CA91DBB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学术价值和现实意义</w:t>
            </w:r>
          </w:p>
        </w:tc>
        <w:tc>
          <w:tcPr>
            <w:tcW w:w="8082" w:type="dxa"/>
            <w:noWrap w:val="0"/>
            <w:vAlign w:val="center"/>
          </w:tcPr>
          <w:p w14:paraId="059DB4C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1. 学术价值</w:t>
            </w:r>
          </w:p>
          <w:p w14:paraId="09B4036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  <w:p w14:paraId="3400978C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构建“AI for Science”的垂直落地范式：本研究不局限于理论探讨，而是通过 MCP 协议将大模型与经典物理算法深度耦合。验证了大模型在处理“对称性约化”、“关联函数匹配”等深层物理逻辑时的意图识别与精准调度能力。</w:t>
            </w:r>
          </w:p>
          <w:p w14:paraId="59FAA21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验证标准化工具链在科学计算中的有效性：通过设计标准化的 MCP 接口，解决了传统科学计算代码接口不统一、难以集成的问题，为构建更复杂的跨学科计算智能体提供了可复用的技术架构。</w:t>
            </w:r>
          </w:p>
          <w:p w14:paraId="27BEC63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2. 现实意义</w:t>
            </w:r>
          </w:p>
          <w:p w14:paraId="7B0DCFE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  <w:p w14:paraId="2733B65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极大降低科研门槛：利用 Trae CN 平台，研究人员无需深入底层代码细节，仅需自然语言指令即可完成复杂的无序合金模拟，实现了“所想即所得”。</w:t>
            </w:r>
          </w:p>
          <w:p w14:paraId="2855C30F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提升计算效率与可复现性：AI 驱动的自动化流程消除了手动调参和文件流转中的随机误差，确保了计算流程的标准化，显著提升了研究效率与结果的可复现性。</w:t>
            </w:r>
          </w:p>
          <w:p w14:paraId="44A00158">
            <w:pPr>
              <w:spacing w:line="300" w:lineRule="auto"/>
              <w:ind w:firstLine="480" w:firstLineChars="200"/>
              <w:rPr>
                <w:rFonts w:hint="eastAsia" w:ascii="宋体" w:hAnsi="宋体"/>
                <w:sz w:val="24"/>
                <w:u w:val="single"/>
              </w:rPr>
            </w:pPr>
          </w:p>
        </w:tc>
      </w:tr>
      <w:tr w14:paraId="14E7E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2" w:hRule="atLeast"/>
          <w:jc w:val="center"/>
        </w:trPr>
        <w:tc>
          <w:tcPr>
            <w:tcW w:w="638" w:type="dxa"/>
            <w:noWrap w:val="0"/>
            <w:vAlign w:val="center"/>
          </w:tcPr>
          <w:p w14:paraId="618B58F7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论文提纲</w:t>
            </w:r>
          </w:p>
        </w:tc>
        <w:tc>
          <w:tcPr>
            <w:tcW w:w="8082" w:type="dxa"/>
            <w:noWrap w:val="0"/>
            <w:vAlign w:val="center"/>
          </w:tcPr>
          <w:p w14:paraId="4A65354A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  <w:p w14:paraId="02C9FAB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第一章 绪论</w:t>
            </w:r>
          </w:p>
          <w:p w14:paraId="1C4FE9E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1.1 研究背景：无序合金模拟的挑战与智能化需求</w:t>
            </w:r>
          </w:p>
          <w:p w14:paraId="58A6E51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1.2 国内外研究进展：从 SQS/SSOS 理论到 AI 辅助材料计算</w:t>
            </w:r>
          </w:p>
          <w:p w14:paraId="0FA0417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1.3 研究目标：构建基于 Trae CN 与 MCP 的自动化模拟系统</w:t>
            </w:r>
          </w:p>
          <w:p w14:paraId="6D81920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  <w:p w14:paraId="120E9A6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第二章 无序合金模拟核心理论（知识库构建）</w:t>
            </w:r>
          </w:p>
          <w:p w14:paraId="5AD023D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2.1 晶体对称性与不可约构型生成原理</w:t>
            </w:r>
          </w:p>
          <w:p w14:paraId="02A189C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2.2 超胞构建理论与矩阵变换</w:t>
            </w:r>
          </w:p>
          <w:p w14:paraId="5FCE8B7F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2.3 特殊准随机结构（SQS）理论：关联函数与随机性模拟</w:t>
            </w:r>
          </w:p>
          <w:p w14:paraId="16619EF1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2.4 有序结构小集合（SSOS）理论：加权平均近似机制</w:t>
            </w:r>
          </w:p>
          <w:p w14:paraId="2BDB6BE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  <w:p w14:paraId="550974E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第三章 基于 Trae CN 与 MCP 的系统集成设计</w:t>
            </w:r>
          </w:p>
          <w:p w14:paraId="472F020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3.1 系统架构设计：大模型智能体 + MCP 工具层 + 物理计算内核</w:t>
            </w:r>
          </w:p>
          <w:p w14:paraId="2B8ED3D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3.2 物理计算模块的 MCP 接口封装</w:t>
            </w:r>
          </w:p>
          <w:p w14:paraId="4C3E4B1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3.2.1 接口定义：输入输出参数的标准化设计</w:t>
            </w:r>
          </w:p>
          <w:p w14:paraId="6BDB9F9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3.2.2 轻量级 MCP Server 的实现（基于 AI 辅助生成）</w:t>
            </w:r>
          </w:p>
          <w:p w14:paraId="20D4264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3.3 大模型智能体的构建与调试</w:t>
            </w:r>
          </w:p>
          <w:p w14:paraId="4CF6294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3.3.1 Prompt 工程设计：物理概念的向量化表征</w:t>
            </w:r>
          </w:p>
          <w:p w14:paraId="0FD1A92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3.3.2 上下文学习：引导模型精准调用四大模块</w:t>
            </w:r>
          </w:p>
          <w:p w14:paraId="1972B1F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  <w:p w14:paraId="7B83F4FE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第四章 自动化工作流实现与实证分析</w:t>
            </w:r>
          </w:p>
          <w:p w14:paraId="1129CF5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4.1 实验环境：Trae CN 平台部署与模型选型（GLM5/Qwen）</w:t>
            </w:r>
          </w:p>
          <w:p w14:paraId="64ACF02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4.2 典型算例测试：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  <w:highlight w:val="yellow"/>
              </w:rPr>
              <w:t>以 Cu-Au 及高熵合金体系为例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  <w:highlight w:val="yellow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  <w:highlight w:val="yellow"/>
                <w:lang w:val="en-US" w:eastAsia="zh-CN"/>
              </w:rPr>
              <w:t>可换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  <w:highlight w:val="yellow"/>
                <w:lang w:eastAsia="zh-CN"/>
              </w:rPr>
              <w:t>）</w:t>
            </w:r>
          </w:p>
          <w:p w14:paraId="055492E9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4.2.1 自然语言指令解析与参数映射测试</w:t>
            </w:r>
          </w:p>
          <w:p w14:paraId="3EBCE928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4.2.2 自动化执行全流程监控</w:t>
            </w:r>
          </w:p>
          <w:p w14:paraId="54F3975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4.3 结果验证与性能评估</w:t>
            </w:r>
          </w:p>
          <w:p w14:paraId="420BD0BB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4.3.1 AI 自动生成构型与传统代码结果的一致性分析</w:t>
            </w:r>
          </w:p>
          <w:p w14:paraId="1C03207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4.3.2 计算耗时与人机交互效率对比</w:t>
            </w:r>
          </w:p>
          <w:p w14:paraId="4260A9BF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4.4 异常处理机制验证</w:t>
            </w:r>
          </w:p>
          <w:p w14:paraId="54C6B0A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</w:p>
          <w:p w14:paraId="5754E80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第五章 总结与展望</w:t>
            </w:r>
          </w:p>
          <w:p w14:paraId="7246C3A2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5.1 研究工作总结</w:t>
            </w:r>
          </w:p>
          <w:p w14:paraId="02DEDB20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5.2 系统局限性与改进方向</w:t>
            </w:r>
          </w:p>
          <w:p w14:paraId="5E9501D5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5.3 对 AI 驱动的材料计算未来的展望</w:t>
            </w:r>
          </w:p>
          <w:p w14:paraId="474B4B74">
            <w:pPr>
              <w:rPr>
                <w:rFonts w:hint="eastAsia" w:ascii="Times New Roman" w:hAnsi="Times New Roman"/>
                <w:sz w:val="24"/>
              </w:rPr>
            </w:pPr>
          </w:p>
        </w:tc>
      </w:tr>
      <w:tr w14:paraId="56A95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9" w:hRule="atLeast"/>
          <w:jc w:val="center"/>
        </w:trPr>
        <w:tc>
          <w:tcPr>
            <w:tcW w:w="638" w:type="dxa"/>
            <w:noWrap w:val="0"/>
            <w:vAlign w:val="center"/>
          </w:tcPr>
          <w:p w14:paraId="6A556769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写作进度安排</w:t>
            </w:r>
          </w:p>
        </w:tc>
        <w:tc>
          <w:tcPr>
            <w:tcW w:w="8082" w:type="dxa"/>
            <w:noWrap w:val="0"/>
            <w:vAlign w:val="top"/>
          </w:tcPr>
          <w:tbl>
            <w:tblPr>
              <w:tblStyle w:val="4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082"/>
              <w:gridCol w:w="4082"/>
            </w:tblGrid>
            <w:tr w14:paraId="132FA67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</w:trPr>
              <w:tc>
                <w:tcPr>
                  <w:tcW w:w="4082" w:type="dxa"/>
                  <w:noWrap w:val="0"/>
                  <w:vAlign w:val="top"/>
                </w:tcPr>
                <w:p w14:paraId="76EF027C">
                  <w:pPr>
                    <w:spacing w:beforeLines="0" w:afterLines="0"/>
                    <w:jc w:val="left"/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  <w:t>202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  <w:t>.10.1 - 202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  <w:t>.1.1</w:t>
                  </w:r>
                </w:p>
              </w:tc>
              <w:tc>
                <w:tcPr>
                  <w:tcW w:w="4082" w:type="dxa"/>
                  <w:noWrap w:val="0"/>
                  <w:vAlign w:val="top"/>
                </w:tcPr>
                <w:p w14:paraId="592884F4">
                  <w:pPr>
                    <w:spacing w:beforeLines="0" w:afterLines="0"/>
                    <w:jc w:val="left"/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  <w:t>查阅文献资料</w:t>
                  </w:r>
                </w:p>
              </w:tc>
            </w:tr>
            <w:tr w14:paraId="6CE0158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</w:trPr>
              <w:tc>
                <w:tcPr>
                  <w:tcW w:w="4082" w:type="dxa"/>
                  <w:noWrap w:val="0"/>
                  <w:vAlign w:val="top"/>
                </w:tcPr>
                <w:p w14:paraId="606A20C3">
                  <w:pPr>
                    <w:spacing w:beforeLines="0" w:afterLines="0"/>
                    <w:jc w:val="left"/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  <w:t>202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  <w:t>.1.1 - 202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  <w:t>.1.20</w:t>
                  </w:r>
                </w:p>
              </w:tc>
              <w:tc>
                <w:tcPr>
                  <w:tcW w:w="4082" w:type="dxa"/>
                  <w:noWrap w:val="0"/>
                  <w:vAlign w:val="top"/>
                </w:tcPr>
                <w:p w14:paraId="3E15ED46">
                  <w:pPr>
                    <w:spacing w:beforeLines="0" w:afterLines="0"/>
                    <w:jc w:val="left"/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  <w:t>完成开题报告</w:t>
                  </w:r>
                </w:p>
              </w:tc>
            </w:tr>
            <w:tr w14:paraId="7C17336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</w:trPr>
              <w:tc>
                <w:tcPr>
                  <w:tcW w:w="4082" w:type="dxa"/>
                  <w:noWrap w:val="0"/>
                  <w:vAlign w:val="top"/>
                </w:tcPr>
                <w:p w14:paraId="369E2B49">
                  <w:pPr>
                    <w:spacing w:beforeLines="0" w:afterLines="0"/>
                    <w:jc w:val="left"/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  <w:t>202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  <w:t>.1.21 - 202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  <w:t>.3.1</w:t>
                  </w:r>
                </w:p>
              </w:tc>
              <w:tc>
                <w:tcPr>
                  <w:tcW w:w="4082" w:type="dxa"/>
                  <w:noWrap w:val="0"/>
                  <w:vAlign w:val="top"/>
                </w:tcPr>
                <w:p w14:paraId="291A9D93">
                  <w:pPr>
                    <w:spacing w:beforeLines="0" w:afterLines="0"/>
                    <w:jc w:val="left"/>
                    <w:rPr>
                      <w:rFonts w:hint="default" w:asciiTheme="minorEastAsia" w:hAnsiTheme="minorEastAsia" w:eastAsiaTheme="minorEastAsia" w:cstheme="minorEastAsia"/>
                      <w:color w:val="00000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  <w:t>完成论文初稿</w:t>
                  </w:r>
                </w:p>
              </w:tc>
            </w:tr>
            <w:tr w14:paraId="406B1AC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</w:trPr>
              <w:tc>
                <w:tcPr>
                  <w:tcW w:w="4082" w:type="dxa"/>
                  <w:noWrap w:val="0"/>
                  <w:vAlign w:val="top"/>
                </w:tcPr>
                <w:p w14:paraId="6D885184">
                  <w:pPr>
                    <w:spacing w:beforeLines="0" w:afterLines="0"/>
                    <w:jc w:val="left"/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  <w:t>202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  <w:t>.3.1 - 202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  <w:t>.3.20</w:t>
                  </w:r>
                </w:p>
              </w:tc>
              <w:tc>
                <w:tcPr>
                  <w:tcW w:w="4082" w:type="dxa"/>
                  <w:noWrap w:val="0"/>
                  <w:vAlign w:val="top"/>
                </w:tcPr>
                <w:p w14:paraId="0356BEA6">
                  <w:pPr>
                    <w:spacing w:beforeLines="0" w:afterLines="0"/>
                    <w:jc w:val="left"/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  <w:t>完成论文第二稿</w:t>
                  </w:r>
                </w:p>
              </w:tc>
            </w:tr>
            <w:tr w14:paraId="7DCD10B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</w:trPr>
              <w:tc>
                <w:tcPr>
                  <w:tcW w:w="4082" w:type="dxa"/>
                  <w:noWrap w:val="0"/>
                  <w:vAlign w:val="top"/>
                </w:tcPr>
                <w:p w14:paraId="382FA981">
                  <w:pPr>
                    <w:spacing w:beforeLines="0" w:afterLines="0"/>
                    <w:jc w:val="left"/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  <w:t>202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  <w:t>.3.21 - 202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  <w:t>.4.10</w:t>
                  </w:r>
                </w:p>
              </w:tc>
              <w:tc>
                <w:tcPr>
                  <w:tcW w:w="4082" w:type="dxa"/>
                  <w:noWrap w:val="0"/>
                  <w:vAlign w:val="top"/>
                </w:tcPr>
                <w:p w14:paraId="2A87B2DE">
                  <w:pPr>
                    <w:spacing w:beforeLines="0" w:afterLines="0"/>
                    <w:jc w:val="left"/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  <w:t>完成论文第三稿</w:t>
                  </w:r>
                </w:p>
              </w:tc>
            </w:tr>
            <w:tr w14:paraId="5FFCFF4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</w:trPr>
              <w:tc>
                <w:tcPr>
                  <w:tcW w:w="4082" w:type="dxa"/>
                  <w:noWrap w:val="0"/>
                  <w:vAlign w:val="top"/>
                </w:tcPr>
                <w:p w14:paraId="108593D9">
                  <w:pPr>
                    <w:spacing w:beforeLines="0" w:afterLines="0"/>
                    <w:jc w:val="left"/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  <w:t>202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  <w:t>.4.11 - 202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  <w:t>.4.20</w:t>
                  </w:r>
                </w:p>
              </w:tc>
              <w:tc>
                <w:tcPr>
                  <w:tcW w:w="4082" w:type="dxa"/>
                  <w:noWrap w:val="0"/>
                  <w:vAlign w:val="top"/>
                </w:tcPr>
                <w:p w14:paraId="7AC35D46">
                  <w:pPr>
                    <w:spacing w:beforeLines="0" w:afterLines="0"/>
                    <w:jc w:val="left"/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color w:val="000000"/>
                      <w:sz w:val="24"/>
                      <w:szCs w:val="24"/>
                    </w:rPr>
                    <w:t>完成定稿</w:t>
                  </w:r>
                </w:p>
              </w:tc>
            </w:tr>
          </w:tbl>
          <w:p w14:paraId="7ADAD268">
            <w:pPr>
              <w:spacing w:line="360" w:lineRule="auto"/>
              <w:rPr>
                <w:rFonts w:hint="eastAsia" w:ascii="Times New Roman" w:hAnsi="Times New Roman"/>
                <w:sz w:val="24"/>
              </w:rPr>
            </w:pPr>
          </w:p>
        </w:tc>
      </w:tr>
      <w:tr w14:paraId="62EC7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38" w:type="dxa"/>
            <w:noWrap w:val="0"/>
            <w:vAlign w:val="center"/>
          </w:tcPr>
          <w:p w14:paraId="7CFC4A01">
            <w:pPr>
              <w:jc w:val="center"/>
              <w:rPr>
                <w:rFonts w:hint="eastAsia" w:ascii="宋体" w:hAnsi="宋体"/>
                <w:sz w:val="24"/>
                <w:u w:val="single"/>
              </w:rPr>
            </w:pPr>
            <w:r>
              <w:rPr>
                <w:rFonts w:hint="eastAsia" w:ascii="宋体" w:hAnsi="宋体"/>
                <w:sz w:val="24"/>
              </w:rPr>
              <w:t>主要参考文献</w:t>
            </w:r>
          </w:p>
        </w:tc>
        <w:tc>
          <w:tcPr>
            <w:tcW w:w="8082" w:type="dxa"/>
            <w:noWrap w:val="0"/>
            <w:vAlign w:val="top"/>
          </w:tcPr>
          <w:p w14:paraId="55CEB946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[1] Zunger A, Wei S H, Ferreira L G, et al. Special quasirandom structures[J]. Physical Review Letters, 1990, 65(3): 353-356.</w:t>
            </w:r>
          </w:p>
          <w:p w14:paraId="04A0EA4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[2] Jiang C, Uberuaga B P. Efficient Ab initio Modeling of Random Multicomponent Alloys[J]. Physical Review Letters, 2016, 116(10): 105501.</w:t>
            </w:r>
          </w:p>
          <w:p w14:paraId="4251B893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[3] Lian J C, Wu H Y, Huang W Q, et al. Algorithm for generating irreducible site-occupancy configurations[J]. Physical Review B, 2020, 102(13): 134209.</w:t>
            </w:r>
          </w:p>
          <w:p w14:paraId="34124E54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[4] Hart G L W, Forcade R W. Algorithm for generating derivative structures[J]. Physical Review B, 2008, 77(22): 224115.</w:t>
            </w:r>
          </w:p>
          <w:p w14:paraId="587ADC77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[5] 李戈, 邢颖, 刘芳, 等. 前言[J]. 计算机研究与发展, 2024, 61(2): 289-290.</w:t>
            </w:r>
          </w:p>
          <w:p w14:paraId="0C61DF4D">
            <w:pPr>
              <w:spacing w:beforeLines="0" w:afterLines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[6] Yang Z, Chen S, Gao C, et al. 基于深度学习的代码生成方法研究进展[J]. 软件学报, 2024, 35(2): 604-628.</w:t>
            </w:r>
          </w:p>
          <w:p w14:paraId="408AC1E3">
            <w:pPr>
              <w:tabs>
                <w:tab w:val="left" w:pos="420"/>
              </w:tabs>
              <w:adjustRightInd w:val="0"/>
              <w:snapToGrid w:val="0"/>
              <w:spacing w:before="120" w:beforeLines="50" w:after="120" w:afterLines="50"/>
              <w:rPr>
                <w:rFonts w:hint="eastAsia" w:ascii="Times New Roman" w:hAnsi="Times New Roman"/>
                <w:sz w:val="24"/>
              </w:rPr>
            </w:pPr>
          </w:p>
        </w:tc>
      </w:tr>
      <w:tr w14:paraId="02F6F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8" w:type="dxa"/>
            <w:noWrap w:val="0"/>
            <w:vAlign w:val="center"/>
          </w:tcPr>
          <w:p w14:paraId="19F67536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指导教师审核意见</w:t>
            </w:r>
          </w:p>
        </w:tc>
        <w:tc>
          <w:tcPr>
            <w:tcW w:w="8082" w:type="dxa"/>
            <w:noWrap w:val="0"/>
            <w:vAlign w:val="top"/>
          </w:tcPr>
          <w:p w14:paraId="42BCB859">
            <w:pPr>
              <w:rPr>
                <w:rFonts w:hint="eastAsia" w:ascii="宋体" w:hAnsi="宋体"/>
                <w:sz w:val="24"/>
                <w:u w:val="single"/>
              </w:rPr>
            </w:pPr>
          </w:p>
          <w:p w14:paraId="579D0EF1">
            <w:pPr>
              <w:rPr>
                <w:rFonts w:hint="eastAsia" w:ascii="宋体" w:hAnsi="宋体"/>
                <w:sz w:val="24"/>
                <w:u w:val="single"/>
              </w:rPr>
            </w:pPr>
          </w:p>
          <w:p w14:paraId="5FE31DAC">
            <w:pPr>
              <w:rPr>
                <w:rFonts w:hint="eastAsia" w:ascii="宋体" w:hAnsi="宋体"/>
                <w:sz w:val="24"/>
                <w:u w:val="single"/>
              </w:rPr>
            </w:pPr>
          </w:p>
          <w:p w14:paraId="0ECD9C31">
            <w:pPr>
              <w:rPr>
                <w:rFonts w:hint="eastAsia" w:ascii="宋体" w:hAnsi="宋体"/>
                <w:sz w:val="24"/>
              </w:rPr>
            </w:pPr>
          </w:p>
          <w:p w14:paraId="25B44128">
            <w:pPr>
              <w:rPr>
                <w:rFonts w:hint="eastAsia" w:ascii="宋体" w:hAnsi="宋体"/>
                <w:sz w:val="24"/>
              </w:rPr>
            </w:pPr>
          </w:p>
          <w:p w14:paraId="0533849A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指导老师签名：</w:t>
            </w:r>
          </w:p>
          <w:p w14:paraId="50DF59FE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         年   月   日</w:t>
            </w:r>
          </w:p>
        </w:tc>
      </w:tr>
    </w:tbl>
    <w:p w14:paraId="53750668">
      <w:pPr>
        <w:snapToGrid w:val="0"/>
        <w:spacing w:line="520" w:lineRule="exact"/>
        <w:rPr>
          <w:rFonts w:hint="eastAsia" w:ascii="宋体" w:hAnsi="宋体"/>
          <w:sz w:val="24"/>
          <w:u w:val="single"/>
        </w:rPr>
      </w:pPr>
      <w:r>
        <w:rPr>
          <w:rFonts w:hint="eastAsia" w:ascii="宋体" w:hAnsi="宋体"/>
          <w:sz w:val="24"/>
        </w:rPr>
        <w:t>教研室主任（签名）</w:t>
      </w:r>
      <w:r>
        <w:rPr>
          <w:rFonts w:hint="eastAsia" w:ascii="宋体" w:hAnsi="宋体"/>
          <w:sz w:val="24"/>
          <w:u w:val="single"/>
        </w:rPr>
        <w:t xml:space="preserve">            </w:t>
      </w:r>
      <w:r>
        <w:rPr>
          <w:rFonts w:hint="eastAsia" w:ascii="宋体" w:hAnsi="宋体"/>
          <w:sz w:val="24"/>
        </w:rPr>
        <w:t xml:space="preserve">     教学学院院长（签名）</w:t>
      </w:r>
      <w:r>
        <w:rPr>
          <w:rFonts w:hint="eastAsia" w:ascii="宋体" w:hAnsi="宋体"/>
          <w:sz w:val="24"/>
          <w:u w:val="single"/>
        </w:rPr>
        <w:t xml:space="preserve">             </w:t>
      </w:r>
    </w:p>
    <w:p w14:paraId="16B0100E">
      <w:pPr>
        <w:spacing w:line="520" w:lineRule="exact"/>
        <w:ind w:right="678" w:rightChars="323"/>
        <w:jc w:val="right"/>
        <w:rPr>
          <w:rFonts w:hint="eastAsia"/>
        </w:rPr>
      </w:pPr>
      <w:r>
        <w:rPr>
          <w:rFonts w:hint="eastAsia" w:ascii="宋体" w:hAnsi="宋体"/>
          <w:sz w:val="24"/>
        </w:rPr>
        <w:t>年   月   日</w:t>
      </w:r>
    </w:p>
    <w:p w14:paraId="413543B8">
      <w:pPr>
        <w:rPr>
          <w:rFonts w:hint="default" w:eastAsiaTheme="minorEastAsia"/>
          <w:lang w:val="en-US" w:eastAsia="zh-CN"/>
        </w:rPr>
      </w:pPr>
    </w:p>
    <w:sectPr>
      <w:footerReference r:id="rId3" w:type="default"/>
      <w:footerReference r:id="rId4" w:type="even"/>
      <w:pgSz w:w="11906" w:h="16838"/>
      <w:pgMar w:top="2155" w:right="1701" w:bottom="2155" w:left="1701" w:header="1418" w:footer="1418" w:gutter="0"/>
      <w:pgNumType w:fmt="numberInDash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书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寰蒋闆呴粦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E2A60">
    <w:pPr>
      <w:pStyle w:val="2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DE8FE5">
    <w:pPr>
      <w:pStyle w:val="2"/>
      <w:framePr w:wrap="around" w:vAnchor="text" w:hAnchor="margin" w:xAlign="outside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separate"/>
    </w:r>
    <w:r>
      <w:rPr>
        <w:rStyle w:val="7"/>
      </w:rPr>
      <w:t>- 1 -</w:t>
    </w:r>
    <w:r>
      <w:fldChar w:fldCharType="end"/>
    </w:r>
  </w:p>
  <w:p w14:paraId="38A9F9D3">
    <w:pPr>
      <w:pStyle w:val="2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F3370D"/>
    <w:rsid w:val="093151B5"/>
    <w:rsid w:val="0B2367DA"/>
    <w:rsid w:val="0D1158FC"/>
    <w:rsid w:val="0FE268D2"/>
    <w:rsid w:val="12B72298"/>
    <w:rsid w:val="1EE06497"/>
    <w:rsid w:val="20ED3B94"/>
    <w:rsid w:val="21C0196E"/>
    <w:rsid w:val="23327AB2"/>
    <w:rsid w:val="2709752E"/>
    <w:rsid w:val="29381B18"/>
    <w:rsid w:val="2D200D0E"/>
    <w:rsid w:val="318850D4"/>
    <w:rsid w:val="321A3288"/>
    <w:rsid w:val="38057C75"/>
    <w:rsid w:val="38D03EC5"/>
    <w:rsid w:val="3A5A3E78"/>
    <w:rsid w:val="3D087E91"/>
    <w:rsid w:val="416F3BBA"/>
    <w:rsid w:val="421C22C0"/>
    <w:rsid w:val="426D560B"/>
    <w:rsid w:val="42D635B0"/>
    <w:rsid w:val="42E40ACD"/>
    <w:rsid w:val="490177EE"/>
    <w:rsid w:val="4A113A61"/>
    <w:rsid w:val="4A9174E4"/>
    <w:rsid w:val="519C08F1"/>
    <w:rsid w:val="54284CF2"/>
    <w:rsid w:val="54AA0D3A"/>
    <w:rsid w:val="561455C8"/>
    <w:rsid w:val="69A74365"/>
    <w:rsid w:val="6A5E280F"/>
    <w:rsid w:val="6EA42846"/>
    <w:rsid w:val="700F3CEF"/>
    <w:rsid w:val="7087677D"/>
    <w:rsid w:val="79A0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2026-03-13T06:28:00Z</dcterms:created>
  <dc:creator>quchunye</dc:creator>
  <cp:lastModifiedBy>quchunye</cp:lastModifiedBy>
  <dcterms:modified xsi:type="dcterms:W3CDTF">2026-03-14T02:10:12Z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D7E48482D64448EC9D5B0E46030F30F3_11</vt:lpwstr>
  </property>
  <property fmtid="{D5CDD505-2E9C-101B-9397-08002B2CF9AE}" pid="4" name="KSOTemplateDocerSaveRecord">
    <vt:lpwstr>eyJoZGlkIjoiM2ZkMmNkZTJiMzdlNTZkMzUwNGQ3MDE4NDRiNjBiZWIiLCJ1c2VySWQiOiI2NDU1NTUzMDYifQ==</vt:lpwstr>
  </property>
</Properties>
</file>