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Vendor Agreement</w:t>
      </w:r>
    </w:p>
    <w:p>
      <w:r>
        <w:t xml:space="preserve">This Vendor Agreement is between </w:t>
      </w:r>
      <w:r>
        <w:rPr>
          <w:b/>
        </w:rPr>
        <w:t xml:space="preserve">Northwind Labs, Inc.</w:t>
      </w:r>
      <w:r>
        <w:t xml:space="preserve"> ("Company") and </w:t>
      </w:r>
      <w:r>
        <w:rPr>
          <w:b/>
        </w:rPr>
        <w:t xml:space="preserve">Blue Heron Supply Co.</w:t>
      </w:r>
      <w:r>
        <w:t xml:space="preserve"> ("Vendor").</w:t>
      </w:r>
    </w:p>
    <w:p>
      <w:r>
        <w:rPr>
          <w:b/>
        </w:rPr>
        <w:t xml:space="preserve">1. Payment. </w:t>
      </w:r>
      <w:r>
        <w:t xml:space="preserve">Company shall pay each undisputed invoice within forty-five (45) days.</w:t>
      </w:r>
    </w:p>
    <w:p>
      <w:r>
        <w:rPr>
          <w:b/>
        </w:rPr>
        <w:t xml:space="preserve">2. Term. </w:t>
      </w:r>
      <w:r>
        <w:t xml:space="preserve">This Agreement lasts one (1) year and renews automatically.</w:t>
      </w:r>
    </w:p>
    <w:p>
      <w:r>
        <w:rPr>
          <w:b/>
        </w:rPr>
        <w:t xml:space="preserve">3. Liability. </w:t>
      </w:r>
      <w:r>
        <w:t xml:space="preserve">Vendor's liability shall be unlimited.</w:t>
      </w:r>
    </w:p>
    <w:p>
      <w:r>
        <w:rPr>
          <w:b/>
        </w:rPr>
        <w:t xml:space="preserve">4. Governing Law. </w:t>
      </w:r>
      <w:r>
        <w:t xml:space="preserve">This Agreement is governed by the laws of the State of Texas.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