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8CFD" w14:textId="77777777" w:rsidR="00235A28" w:rsidRDefault="00235A28" w:rsidP="00235A28">
      <w:pPr>
        <w:pStyle w:val="Heading2"/>
      </w:pPr>
      <w:r>
        <w:t xml:space="preserve">Aff answers </w:t>
      </w:r>
    </w:p>
    <w:p w14:paraId="26E5B8B4" w14:textId="77777777" w:rsidR="00235A28" w:rsidRDefault="00235A28" w:rsidP="00235A28">
      <w:pPr>
        <w:pStyle w:val="Heading3"/>
      </w:pPr>
      <w:r>
        <w:t xml:space="preserve">Perm solves the NATO Cohesion DA </w:t>
      </w:r>
    </w:p>
    <w:p w14:paraId="55EB8F5B" w14:textId="77777777" w:rsidR="00235A28" w:rsidRDefault="00235A28" w:rsidP="00235A28">
      <w:pPr>
        <w:pStyle w:val="Heading4"/>
      </w:pPr>
      <w:r>
        <w:t xml:space="preserve">Perm provides new cooperation opportunity for NATO unity – solves the DA </w:t>
      </w:r>
    </w:p>
    <w:p w14:paraId="48E77837" w14:textId="77777777" w:rsidR="00235A28" w:rsidRDefault="00235A28" w:rsidP="00235A28">
      <w:pPr>
        <w:rPr>
          <w:b/>
        </w:rPr>
      </w:pPr>
      <w:proofErr w:type="spellStart"/>
      <w:proofErr w:type="gramStart"/>
      <w:r w:rsidRPr="006F10A8">
        <w:rPr>
          <w:b/>
        </w:rPr>
        <w:t>Binnendijk</w:t>
      </w:r>
      <w:proofErr w:type="spellEnd"/>
      <w:r>
        <w:rPr>
          <w:b/>
        </w:rPr>
        <w:t xml:space="preserve">, </w:t>
      </w:r>
      <w:r w:rsidRPr="00291C39">
        <w:t xml:space="preserve"> Distinguished</w:t>
      </w:r>
      <w:proofErr w:type="gramEnd"/>
      <w:r w:rsidRPr="00291C39">
        <w:t xml:space="preserve"> Fellow - The Atlantic Council</w:t>
      </w:r>
      <w:r w:rsidRPr="006F10A8">
        <w:rPr>
          <w:b/>
        </w:rPr>
        <w:t xml:space="preserve"> and Hamilton </w:t>
      </w:r>
      <w:r w:rsidRPr="00291C39">
        <w:t>Nonresident Senior Fellow - Foreign Policy, Center on the United States and Europe</w:t>
      </w:r>
      <w:r w:rsidRPr="006F10A8">
        <w:rPr>
          <w:b/>
        </w:rPr>
        <w:t xml:space="preserve">, 2022 </w:t>
      </w:r>
    </w:p>
    <w:p w14:paraId="72FBADDE" w14:textId="77777777" w:rsidR="00235A28" w:rsidRPr="00130BEC" w:rsidRDefault="00235A28" w:rsidP="00235A28">
      <w:r>
        <w:rPr>
          <w:b/>
        </w:rPr>
        <w:t>[</w:t>
      </w:r>
      <w:r>
        <w:t xml:space="preserve">Hans and Daniel, “Strategic Responsibility: Rebalancing European and trans-Atlantic defense” Brookings. </w:t>
      </w:r>
      <w:hyperlink r:id="rId6" w:history="1">
        <w:r w:rsidRPr="002A2EAF">
          <w:rPr>
            <w:rStyle w:val="Hyperlink"/>
          </w:rPr>
          <w:t>https://www.brookings.edu/articles/strategic-responsibility-rebalancing-european-and-trans-atlantic-defense/</w:t>
        </w:r>
      </w:hyperlink>
      <w:r>
        <w:t xml:space="preserve"> GDI-TM]</w:t>
      </w:r>
    </w:p>
    <w:p w14:paraId="3C4A2053" w14:textId="77777777" w:rsidR="00235A28" w:rsidRDefault="00235A28" w:rsidP="00235A28">
      <w:r>
        <w:t xml:space="preserve">To achieve these two strategic goals, </w:t>
      </w:r>
      <w:r w:rsidRPr="00C57559">
        <w:rPr>
          <w:rStyle w:val="StyleUnderline"/>
        </w:rPr>
        <w:t>NATO allies could agree within the NATO Defense Planning Process to a military level of ambition for European strategic responsibility</w:t>
      </w:r>
      <w:r>
        <w:t>. European allies and Canada could commit to investing sufficient resources to ensure that, by the end of the decade, they can meet 50% of NATO’s Minimum Capability Requirements. This would mean fully usable forces required to cover the whole spectrum of operations and missions, as well as the strategic enablers needed to conduct multiple large- and small-scale missions — if necessary, without U.S. support.</w:t>
      </w:r>
    </w:p>
    <w:p w14:paraId="02C6E19A" w14:textId="77777777" w:rsidR="00235A28" w:rsidRPr="00C57559" w:rsidRDefault="00235A28" w:rsidP="00235A28">
      <w:pPr>
        <w:rPr>
          <w:rStyle w:val="StyleUnderline"/>
        </w:rPr>
      </w:pPr>
      <w:r w:rsidRPr="00C57559">
        <w:rPr>
          <w:rStyle w:val="StyleUnderline"/>
        </w:rPr>
        <w:t>Meeting this standard will take time, given Europe’s current lack of enablers, its relatively low readiness rates, and its fragmented military industrial complex. Building European strategic responsibility will be a process, not a one-time event.</w:t>
      </w:r>
      <w:r>
        <w:t xml:space="preserve"> At Madrid, alliance leaders will unveil NATO’s new Strategic Concept, its first in 12 years. </w:t>
      </w:r>
      <w:r w:rsidRPr="00C57559">
        <w:rPr>
          <w:rStyle w:val="StyleUnderline"/>
        </w:rPr>
        <w:t>The Strategic Concept should launch the process toward greater European strategic responsibility, reinforced by complementary efforts to implement the EU’s Strategic Compass.</w:t>
      </w:r>
    </w:p>
    <w:p w14:paraId="22C9956F" w14:textId="77777777" w:rsidR="00235A28" w:rsidRDefault="00235A28" w:rsidP="00235A28">
      <w:r w:rsidRPr="00C57559">
        <w:rPr>
          <w:rStyle w:val="StyleUnderline"/>
        </w:rPr>
        <w:t>Greater European strategic responsibility will require more, not less, trans-Atlantic consultation on political-military matters</w:t>
      </w:r>
      <w:r>
        <w:t xml:space="preserve">. When Europe acquires the military capabilities needed to exercise real strategic responsibility, its political voice will be amplified. Diplomatic differences between the United States and Europe will still arise, but a dialogue among equals is more likely to overcome areas of disagreement. That said, </w:t>
      </w:r>
      <w:r w:rsidRPr="00C57559">
        <w:rPr>
          <w:rStyle w:val="StyleUnderline"/>
        </w:rPr>
        <w:t>new mechanisms for NATO-EU coordination will be needed.</w:t>
      </w:r>
    </w:p>
    <w:p w14:paraId="2A76778E" w14:textId="77777777" w:rsidR="00235A28" w:rsidRDefault="00235A28" w:rsidP="00235A28">
      <w:pPr>
        <w:pStyle w:val="Heading3"/>
      </w:pPr>
      <w:r>
        <w:t xml:space="preserve">Non-unique – dependent on the US now </w:t>
      </w:r>
    </w:p>
    <w:p w14:paraId="1DD53DDB" w14:textId="77777777" w:rsidR="00235A28" w:rsidRDefault="00235A28" w:rsidP="00235A28">
      <w:pPr>
        <w:pStyle w:val="Heading4"/>
      </w:pPr>
      <w:r>
        <w:t xml:space="preserve">Ukraine conflict increased dependence on the US </w:t>
      </w:r>
    </w:p>
    <w:p w14:paraId="18B2C80A" w14:textId="77777777" w:rsidR="00235A28" w:rsidRDefault="00235A28" w:rsidP="00235A28">
      <w:pPr>
        <w:rPr>
          <w:b/>
        </w:rPr>
      </w:pPr>
      <w:proofErr w:type="spellStart"/>
      <w:proofErr w:type="gramStart"/>
      <w:r w:rsidRPr="006F10A8">
        <w:rPr>
          <w:b/>
        </w:rPr>
        <w:t>Binnendijk</w:t>
      </w:r>
      <w:proofErr w:type="spellEnd"/>
      <w:r>
        <w:rPr>
          <w:b/>
        </w:rPr>
        <w:t xml:space="preserve">, </w:t>
      </w:r>
      <w:r w:rsidRPr="00291C39">
        <w:t xml:space="preserve"> Distinguished</w:t>
      </w:r>
      <w:proofErr w:type="gramEnd"/>
      <w:r w:rsidRPr="00291C39">
        <w:t xml:space="preserve"> Fellow - The Atlantic Council</w:t>
      </w:r>
      <w:r w:rsidRPr="006F10A8">
        <w:rPr>
          <w:b/>
        </w:rPr>
        <w:t xml:space="preserve"> and Hamilton </w:t>
      </w:r>
      <w:r w:rsidRPr="00291C39">
        <w:t>Nonresident Senior Fellow - Foreign Policy, Center on the United States and Europe</w:t>
      </w:r>
      <w:r w:rsidRPr="006F10A8">
        <w:rPr>
          <w:b/>
        </w:rPr>
        <w:t xml:space="preserve">, 2022 </w:t>
      </w:r>
    </w:p>
    <w:p w14:paraId="1DB0D411" w14:textId="77777777" w:rsidR="00235A28" w:rsidRPr="00291C39" w:rsidRDefault="00235A28" w:rsidP="00235A28">
      <w:r>
        <w:rPr>
          <w:b/>
        </w:rPr>
        <w:t>[</w:t>
      </w:r>
      <w:r>
        <w:t xml:space="preserve">Hans and Daniel, “Strategic Responsibility: Rebalancing European and trans-Atlantic defense” Brookings. </w:t>
      </w:r>
      <w:hyperlink r:id="rId7" w:history="1">
        <w:r w:rsidRPr="002A2EAF">
          <w:rPr>
            <w:rStyle w:val="Hyperlink"/>
          </w:rPr>
          <w:t>https://www.brookings.edu/articles/strategic-responsibility-rebalancing-european-and-trans-atlantic-defense/</w:t>
        </w:r>
      </w:hyperlink>
      <w:r>
        <w:t xml:space="preserve"> GDI-TM]</w:t>
      </w:r>
    </w:p>
    <w:p w14:paraId="23C45F01" w14:textId="77777777" w:rsidR="00235A28" w:rsidRDefault="00235A28" w:rsidP="00235A28">
      <w:r>
        <w:t xml:space="preserve">Vladimir </w:t>
      </w:r>
      <w:r w:rsidRPr="00291C39">
        <w:rPr>
          <w:rStyle w:val="StyleUnderline"/>
        </w:rPr>
        <w:t>Putin’s greatest achievement</w:t>
      </w:r>
      <w:r>
        <w:t xml:space="preserve"> thus far in renewing his brutal and unprovoked war of aggression against Ukraine has been </w:t>
      </w:r>
      <w:r w:rsidRPr="00291C39">
        <w:rPr>
          <w:rStyle w:val="StyleUnderline"/>
        </w:rPr>
        <w:t>to reinvigorate the Atlantic alliance</w:t>
      </w:r>
      <w:r>
        <w:t xml:space="preserve">. </w:t>
      </w:r>
      <w:r w:rsidRPr="00291C39">
        <w:rPr>
          <w:rStyle w:val="StyleUnderline"/>
        </w:rPr>
        <w:t>North American-European unity has been remarkable</w:t>
      </w:r>
      <w:r>
        <w:t>, exemplified by harsh and complementary sanctions against Russia; efforts to wean Europe off its dangerous dependence on Russian energy; military, financial, and political support for Ukraine; and actions to strengthen NATO’s own defense.</w:t>
      </w:r>
    </w:p>
    <w:p w14:paraId="3F7D6023" w14:textId="77777777" w:rsidR="00235A28" w:rsidRDefault="00235A28" w:rsidP="00235A28">
      <w:pPr>
        <w:rPr>
          <w:rStyle w:val="StyleUnderline"/>
        </w:rPr>
      </w:pPr>
      <w:r>
        <w:t xml:space="preserve">A </w:t>
      </w:r>
      <w:r w:rsidRPr="00291C39">
        <w:rPr>
          <w:rStyle w:val="StyleUnderline"/>
        </w:rPr>
        <w:t>more corrosive effect</w:t>
      </w:r>
      <w:r>
        <w:t xml:space="preserve"> of Putin’s war, however</w:t>
      </w:r>
      <w:r w:rsidRPr="00291C39">
        <w:rPr>
          <w:rStyle w:val="StyleUnderline"/>
        </w:rPr>
        <w:t>, has been to deepen even further Europe’s strategic dependence on the United States</w:t>
      </w:r>
      <w:r>
        <w:t xml:space="preserve"> — a trend that had already become unsustainable even before the conflict began. As the alliance continues its most urgent task — helping Ukraine beat back Russia’s assault — it </w:t>
      </w:r>
      <w:r w:rsidRPr="00291C39">
        <w:rPr>
          <w:rStyle w:val="StyleUnderline"/>
        </w:rPr>
        <w:t>must address this important longer-term challenge of rebalancing trans-Atlantic defense.</w:t>
      </w:r>
    </w:p>
    <w:p w14:paraId="47DDF016" w14:textId="77777777" w:rsidR="00235A28" w:rsidRPr="00291C39" w:rsidRDefault="00235A28" w:rsidP="00235A28">
      <w:pPr>
        <w:rPr>
          <w:rStyle w:val="StyleUnderline"/>
        </w:rPr>
      </w:pPr>
      <w:r w:rsidRPr="00291C39">
        <w:rPr>
          <w:rStyle w:val="StyleUnderline"/>
        </w:rPr>
        <w:t>Doing so means squaring a triangle of issues</w:t>
      </w:r>
      <w:r w:rsidRPr="00291C39">
        <w:t xml:space="preserve">: </w:t>
      </w:r>
      <w:r w:rsidRPr="00291C39">
        <w:rPr>
          <w:rStyle w:val="StyleUnderline"/>
        </w:rPr>
        <w:t>ensuring Europe’s capacity to defend</w:t>
      </w:r>
      <w:r w:rsidRPr="00291C39">
        <w:t xml:space="preserve"> itself against Russia and manage a range of additional crises, many along its southern periphery; </w:t>
      </w:r>
      <w:r w:rsidRPr="00291C39">
        <w:rPr>
          <w:rStyle w:val="StyleUnderline"/>
        </w:rPr>
        <w:t>addressing European aspirations for greater strategic autonomy;</w:t>
      </w:r>
      <w:r w:rsidRPr="00291C39">
        <w:t xml:space="preserve"> and </w:t>
      </w:r>
      <w:r w:rsidRPr="00291C39">
        <w:rPr>
          <w:rStyle w:val="StyleUnderline"/>
        </w:rPr>
        <w:t>maintaining confidence that the United States can adequately uphold its commitments in both the north Atlantic and the Indo-Pacific.</w:t>
      </w:r>
    </w:p>
    <w:p w14:paraId="6F183438" w14:textId="77777777" w:rsidR="00A95652" w:rsidRPr="00B55AD5" w:rsidRDefault="00A95652" w:rsidP="00B55AD5"/>
    <w:sectPr w:rsidR="00A95652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720819">
    <w:abstractNumId w:val="9"/>
  </w:num>
  <w:num w:numId="2" w16cid:durableId="1686132139">
    <w:abstractNumId w:val="7"/>
  </w:num>
  <w:num w:numId="3" w16cid:durableId="1226649145">
    <w:abstractNumId w:val="6"/>
  </w:num>
  <w:num w:numId="4" w16cid:durableId="59600407">
    <w:abstractNumId w:val="5"/>
  </w:num>
  <w:num w:numId="5" w16cid:durableId="1437217009">
    <w:abstractNumId w:val="4"/>
  </w:num>
  <w:num w:numId="6" w16cid:durableId="1501389522">
    <w:abstractNumId w:val="8"/>
  </w:num>
  <w:num w:numId="7" w16cid:durableId="1744989680">
    <w:abstractNumId w:val="3"/>
  </w:num>
  <w:num w:numId="8" w16cid:durableId="302391654">
    <w:abstractNumId w:val="2"/>
  </w:num>
  <w:num w:numId="9" w16cid:durableId="1653869627">
    <w:abstractNumId w:val="1"/>
  </w:num>
  <w:num w:numId="10" w16cid:durableId="102081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407768"/>
    <w:docVar w:name="VerbatimVersion" w:val="5.1"/>
  </w:docVars>
  <w:rsids>
    <w:rsidRoot w:val="00235A28"/>
    <w:rsid w:val="00003105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35A28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3B0ED4"/>
    <w:rsid w:val="00407037"/>
    <w:rsid w:val="004605D6"/>
    <w:rsid w:val="004C60E8"/>
    <w:rsid w:val="004E3579"/>
    <w:rsid w:val="004E728B"/>
    <w:rsid w:val="004F39E0"/>
    <w:rsid w:val="00537BD5"/>
    <w:rsid w:val="0057268A"/>
    <w:rsid w:val="005A1859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B4831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4040"/>
  <w15:chartTrackingRefBased/>
  <w15:docId w15:val="{CFD22B39-29F3-4C3F-930F-8786C599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235A28"/>
    <w:pPr>
      <w:spacing w:after="0" w:line="240" w:lineRule="auto"/>
    </w:pPr>
    <w:rPr>
      <w:rFonts w:ascii="Georgia" w:hAnsi="Georgia"/>
      <w:sz w:val="20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235A2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235A28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235A28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235A28"/>
    <w:pPr>
      <w:keepNext/>
      <w:keepLines/>
      <w:spacing w:before="200"/>
      <w:outlineLvl w:val="3"/>
    </w:pPr>
    <w:rPr>
      <w:rFonts w:eastAsiaTheme="majorEastAsia" w:cstheme="majorBidi"/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235A2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35A28"/>
  </w:style>
  <w:style w:type="character" w:customStyle="1" w:styleId="Heading1Char">
    <w:name w:val="Heading 1 Char"/>
    <w:aliases w:val="Pocket Char"/>
    <w:basedOn w:val="DefaultParagraphFont"/>
    <w:link w:val="Heading1"/>
    <w:rsid w:val="00235A28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235A28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235A28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235A28"/>
    <w:rPr>
      <w:rFonts w:ascii="Georgia" w:eastAsiaTheme="majorEastAsia" w:hAnsi="Georgia" w:cstheme="majorBidi"/>
      <w:b/>
      <w:iCs/>
    </w:rPr>
  </w:style>
  <w:style w:type="character" w:styleId="Emphasis">
    <w:name w:val="Emphasis"/>
    <w:basedOn w:val="DefaultParagraphFont"/>
    <w:uiPriority w:val="7"/>
    <w:qFormat/>
    <w:rsid w:val="00235A28"/>
    <w:rPr>
      <w:rFonts w:ascii="Georgia" w:hAnsi="Georgia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235A28"/>
    <w:rPr>
      <w:b/>
      <w:bCs/>
      <w:sz w:val="22"/>
      <w:u w:val="none"/>
    </w:rPr>
  </w:style>
  <w:style w:type="character" w:customStyle="1" w:styleId="StyleUnderline">
    <w:name w:val="Style Underline"/>
    <w:aliases w:val="Underline,Style Bold Underline,Intense Emphasis11,cites Char Ch,Intense Emphasis111,Intense Emphasis1111,Thick Underline Char,Bo,Intense Emphasis3,Intense Emphasis4,Bold Cite Char,c,Minimized Char,Heading 3 Char Char Char Char Char,ci,9."/>
    <w:basedOn w:val="DefaultParagraphFont"/>
    <w:uiPriority w:val="6"/>
    <w:qFormat/>
    <w:rsid w:val="00235A28"/>
    <w:rPr>
      <w:b w:val="0"/>
      <w:sz w:val="22"/>
      <w:u w:val="single"/>
    </w:rPr>
  </w:style>
  <w:style w:type="character" w:styleId="Hyperlink">
    <w:name w:val="Hyperlink"/>
    <w:aliases w:val="No Spacing Char,Small Text Char,Card Format Char,Note Level 2 Char,No Spacing111112 Char,tag Char,No Spacing1 Char,Tag and Cite Char,Dont use Char,No Spacing41 Char,nonunderlined Char,Tag and Ci Char,DDI Tag Char,Tag Title Char,Card Char,ca Ch"/>
    <w:basedOn w:val="DefaultParagraphFont"/>
    <w:link w:val="NoSpacing"/>
    <w:uiPriority w:val="99"/>
    <w:unhideWhenUsed/>
    <w:rsid w:val="00235A2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35A28"/>
    <w:rPr>
      <w:color w:val="auto"/>
      <w:u w:val="none"/>
    </w:rPr>
  </w:style>
  <w:style w:type="paragraph" w:styleId="NoSpacing">
    <w:name w:val="No Spacing"/>
    <w:aliases w:val="Small Text,Card Format,Note Level 2,No Spacing111112,tag,No Spacing1,Tag and Cite,Dont use,No Spacing41,nonunderlined,Tag and Ci,DDI Tag,Tag Title,Card,ca,Note Level 21,ClearFormatting,Clear,No Spacing51,No Spacing11211,No Spacing311,Dont u"/>
    <w:basedOn w:val="Heading1"/>
    <w:link w:val="Hyperlink"/>
    <w:autoRedefine/>
    <w:uiPriority w:val="99"/>
    <w:qFormat/>
    <w:rsid w:val="00235A28"/>
    <w:pPr>
      <w:keepNext w:val="0"/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54" w:lineRule="auto"/>
      <w:jc w:val="left"/>
      <w:outlineLvl w:val="9"/>
    </w:pPr>
    <w:rPr>
      <w:rFonts w:asciiTheme="minorHAnsi" w:eastAsia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rookings.edu/articles/strategic-responsibility-rebalancing-european-and-trans-atlantic-defen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ookings.edu/articles/strategic-responsibility-rebalancing-european-and-trans-atlantic-defen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%20alderet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alderete</dc:creator>
  <cp:keywords>5.1.1</cp:keywords>
  <dc:description/>
  <cp:lastModifiedBy>Tim Alderete</cp:lastModifiedBy>
  <cp:revision>1</cp:revision>
  <dcterms:created xsi:type="dcterms:W3CDTF">2022-08-01T17:23:00Z</dcterms:created>
  <dcterms:modified xsi:type="dcterms:W3CDTF">2022-08-01T17:28:00Z</dcterms:modified>
</cp:coreProperties>
</file>