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D84B" w14:textId="77777777" w:rsidR="00D156CE" w:rsidRPr="00D156CE" w:rsidRDefault="00D156CE" w:rsidP="00D156CE">
      <w:pPr>
        <w:keepNext/>
        <w:keepLines/>
        <w:pageBreakBefore/>
        <w:pBdr>
          <w:top w:val="single" w:sz="24" w:space="1" w:color="auto"/>
          <w:left w:val="single" w:sz="24" w:space="4" w:color="auto"/>
          <w:bottom w:val="single" w:sz="24" w:space="1" w:color="auto"/>
          <w:right w:val="single" w:sz="24" w:space="4" w:color="auto"/>
        </w:pBdr>
        <w:spacing w:before="480" w:after="200" w:line="276" w:lineRule="auto"/>
        <w:jc w:val="center"/>
        <w:outlineLvl w:val="0"/>
        <w:rPr>
          <w:rFonts w:ascii="Tw Cen MT" w:eastAsiaTheme="majorEastAsia" w:hAnsi="Tw Cen MT" w:cstheme="majorBidi"/>
          <w:b/>
          <w:sz w:val="52"/>
          <w:szCs w:val="32"/>
        </w:rPr>
      </w:pPr>
      <w:bookmarkStart w:id="0" w:name="_Toc106641461"/>
      <w:r w:rsidRPr="00D156CE">
        <w:rPr>
          <w:rFonts w:ascii="Tw Cen MT" w:eastAsiaTheme="majorEastAsia" w:hAnsi="Tw Cen MT" w:cstheme="majorBidi"/>
          <w:b/>
          <w:sz w:val="52"/>
          <w:szCs w:val="32"/>
        </w:rPr>
        <w:t>AFF Answers</w:t>
      </w:r>
      <w:bookmarkEnd w:id="0"/>
    </w:p>
    <w:p w14:paraId="2F767204" w14:textId="77777777" w:rsidR="00D156CE" w:rsidRPr="00D156CE" w:rsidRDefault="00D156CE" w:rsidP="00D156CE">
      <w:pPr>
        <w:spacing w:after="200" w:line="276" w:lineRule="auto"/>
        <w:rPr>
          <w:rFonts w:ascii="Tw Cen MT" w:hAnsi="Tw Cen MT"/>
          <w:sz w:val="22"/>
          <w:szCs w:val="20"/>
        </w:rPr>
      </w:pPr>
      <w:r w:rsidRPr="00D156CE">
        <w:rPr>
          <w:rFonts w:ascii="Tw Cen MT" w:hAnsi="Tw Cen MT"/>
          <w:sz w:val="22"/>
          <w:szCs w:val="20"/>
        </w:rPr>
        <w:t>Remember to F-STOP!</w:t>
      </w:r>
    </w:p>
    <w:p w14:paraId="6E00CE56" w14:textId="77777777" w:rsidR="00D156CE" w:rsidRPr="00D156CE" w:rsidRDefault="00D156CE" w:rsidP="00D156CE">
      <w:pPr>
        <w:spacing w:after="200" w:line="276" w:lineRule="auto"/>
        <w:rPr>
          <w:rFonts w:ascii="Tw Cen MT" w:hAnsi="Tw Cen MT"/>
          <w:sz w:val="22"/>
          <w:szCs w:val="20"/>
        </w:rPr>
      </w:pPr>
      <w:r w:rsidRPr="00D156CE">
        <w:rPr>
          <w:rFonts w:ascii="Tw Cen MT" w:hAnsi="Tw Cen MT"/>
          <w:sz w:val="22"/>
          <w:szCs w:val="20"/>
        </w:rPr>
        <w:t>When answering the K remember you want to “F-STOP” the K. Always make the following arguments:</w:t>
      </w:r>
    </w:p>
    <w:p w14:paraId="2FF8B3B7" w14:textId="77777777" w:rsidR="00D156CE" w:rsidRPr="00D156CE" w:rsidRDefault="00D156CE" w:rsidP="00D156CE">
      <w:pPr>
        <w:spacing w:after="200" w:line="276" w:lineRule="auto"/>
        <w:rPr>
          <w:rFonts w:ascii="Tw Cen MT" w:hAnsi="Tw Cen MT"/>
          <w:sz w:val="22"/>
          <w:szCs w:val="20"/>
        </w:rPr>
      </w:pPr>
      <w:r w:rsidRPr="00D156CE">
        <w:rPr>
          <w:rFonts w:ascii="Tw Cen MT" w:hAnsi="Tw Cen MT"/>
          <w:b/>
          <w:bCs/>
          <w:sz w:val="22"/>
          <w:szCs w:val="20"/>
        </w:rPr>
        <w:t>Framework</w:t>
      </w:r>
      <w:r w:rsidRPr="00D156CE">
        <w:rPr>
          <w:rFonts w:ascii="Tw Cen MT" w:hAnsi="Tw Cen MT"/>
          <w:sz w:val="22"/>
          <w:szCs w:val="20"/>
        </w:rPr>
        <w:t xml:space="preserve"> – defend why your affirmative matters and the methodology behind your affirmative</w:t>
      </w:r>
    </w:p>
    <w:p w14:paraId="73133617" w14:textId="77777777" w:rsidR="00D156CE" w:rsidRPr="00D156CE" w:rsidRDefault="00D156CE" w:rsidP="00D156CE">
      <w:pPr>
        <w:spacing w:after="200" w:line="276" w:lineRule="auto"/>
        <w:rPr>
          <w:rFonts w:ascii="Tw Cen MT" w:hAnsi="Tw Cen MT"/>
          <w:sz w:val="22"/>
          <w:szCs w:val="20"/>
        </w:rPr>
      </w:pPr>
      <w:r w:rsidRPr="00D156CE">
        <w:rPr>
          <w:rFonts w:ascii="Tw Cen MT" w:hAnsi="Tw Cen MT"/>
          <w:b/>
          <w:bCs/>
          <w:sz w:val="22"/>
          <w:szCs w:val="20"/>
        </w:rPr>
        <w:t>Solvency</w:t>
      </w:r>
      <w:r w:rsidRPr="00D156CE">
        <w:rPr>
          <w:rFonts w:ascii="Tw Cen MT" w:hAnsi="Tw Cen MT"/>
          <w:sz w:val="22"/>
          <w:szCs w:val="20"/>
        </w:rPr>
        <w:t xml:space="preserve"> – You need to make an argument that the Alternative does not solve the affirmative</w:t>
      </w:r>
    </w:p>
    <w:p w14:paraId="430EFC8D" w14:textId="77777777" w:rsidR="00D156CE" w:rsidRPr="00D156CE" w:rsidRDefault="00D156CE" w:rsidP="00D156CE">
      <w:pPr>
        <w:spacing w:after="200" w:line="276" w:lineRule="auto"/>
        <w:rPr>
          <w:rFonts w:ascii="Tw Cen MT" w:hAnsi="Tw Cen MT"/>
          <w:sz w:val="22"/>
          <w:szCs w:val="20"/>
        </w:rPr>
      </w:pPr>
      <w:r w:rsidRPr="00D156CE">
        <w:rPr>
          <w:rFonts w:ascii="Tw Cen MT" w:hAnsi="Tw Cen MT"/>
          <w:b/>
          <w:bCs/>
          <w:sz w:val="22"/>
          <w:szCs w:val="20"/>
        </w:rPr>
        <w:t>Theory</w:t>
      </w:r>
      <w:r w:rsidRPr="00D156CE">
        <w:rPr>
          <w:rFonts w:ascii="Tw Cen MT" w:hAnsi="Tw Cen MT"/>
          <w:sz w:val="22"/>
          <w:szCs w:val="20"/>
        </w:rPr>
        <w:t xml:space="preserve"> – You should have a theoretical objection to the K. If there is also a counterplan/DA strategy in the round that should be conditionality. If the K is being framed as a Floating PIK you also need to defend against that.</w:t>
      </w:r>
    </w:p>
    <w:p w14:paraId="30FB9227" w14:textId="77777777" w:rsidR="00D156CE" w:rsidRPr="00D156CE" w:rsidRDefault="00D156CE" w:rsidP="00D156CE">
      <w:pPr>
        <w:spacing w:after="200" w:line="276" w:lineRule="auto"/>
        <w:rPr>
          <w:rFonts w:ascii="Tw Cen MT" w:hAnsi="Tw Cen MT"/>
          <w:sz w:val="22"/>
          <w:szCs w:val="20"/>
        </w:rPr>
      </w:pPr>
      <w:r w:rsidRPr="00D156CE">
        <w:rPr>
          <w:rFonts w:ascii="Tw Cen MT" w:hAnsi="Tw Cen MT"/>
          <w:b/>
          <w:bCs/>
          <w:sz w:val="22"/>
          <w:szCs w:val="20"/>
        </w:rPr>
        <w:t>Offense</w:t>
      </w:r>
      <w:r w:rsidRPr="00D156CE">
        <w:rPr>
          <w:rFonts w:ascii="Tw Cen MT" w:hAnsi="Tw Cen MT"/>
          <w:sz w:val="22"/>
          <w:szCs w:val="20"/>
        </w:rPr>
        <w:t xml:space="preserve"> – Have offensive reasons that your affirmative is good. These function as disadvantages to the alternative</w:t>
      </w:r>
    </w:p>
    <w:p w14:paraId="3E22AF58" w14:textId="77777777" w:rsidR="00D156CE" w:rsidRPr="00D156CE" w:rsidRDefault="00D156CE" w:rsidP="00D156CE">
      <w:pPr>
        <w:spacing w:after="200" w:line="276" w:lineRule="auto"/>
        <w:rPr>
          <w:rFonts w:ascii="Tw Cen MT" w:hAnsi="Tw Cen MT"/>
          <w:sz w:val="22"/>
          <w:szCs w:val="20"/>
        </w:rPr>
      </w:pPr>
      <w:r w:rsidRPr="00D156CE">
        <w:rPr>
          <w:rFonts w:ascii="Tw Cen MT" w:hAnsi="Tw Cen MT"/>
          <w:b/>
          <w:bCs/>
          <w:sz w:val="22"/>
          <w:szCs w:val="20"/>
        </w:rPr>
        <w:t>Permutation</w:t>
      </w:r>
      <w:r w:rsidRPr="00D156CE">
        <w:rPr>
          <w:rFonts w:ascii="Tw Cen MT" w:hAnsi="Tw Cen MT"/>
          <w:sz w:val="22"/>
          <w:szCs w:val="20"/>
        </w:rPr>
        <w:t xml:space="preserve"> – You should always perm the K. The best perms take the language of the alternative </w:t>
      </w:r>
      <w:proofErr w:type="gramStart"/>
      <w:r w:rsidRPr="00D156CE">
        <w:rPr>
          <w:rFonts w:ascii="Tw Cen MT" w:hAnsi="Tw Cen MT"/>
          <w:sz w:val="22"/>
          <w:szCs w:val="20"/>
        </w:rPr>
        <w:t>and also</w:t>
      </w:r>
      <w:proofErr w:type="gramEnd"/>
      <w:r w:rsidRPr="00D156CE">
        <w:rPr>
          <w:rFonts w:ascii="Tw Cen MT" w:hAnsi="Tw Cen MT"/>
          <w:sz w:val="22"/>
          <w:szCs w:val="20"/>
        </w:rPr>
        <w:t xml:space="preserve"> advocate the affirmative. If you cannot figure out how to write that language the next best idea is to say: “perm do the plan and all non-mutually exclusive parts of the alternative.”</w:t>
      </w:r>
    </w:p>
    <w:p w14:paraId="53ADA041" w14:textId="77777777" w:rsidR="00D156CE" w:rsidRPr="00D156CE" w:rsidRDefault="00D156CE" w:rsidP="00D156CE">
      <w:pPr>
        <w:spacing w:after="200" w:line="276" w:lineRule="auto"/>
        <w:rPr>
          <w:rFonts w:ascii="Tw Cen MT" w:hAnsi="Tw Cen MT"/>
          <w:sz w:val="22"/>
          <w:szCs w:val="20"/>
        </w:rPr>
      </w:pPr>
    </w:p>
    <w:p w14:paraId="46E9BCEC" w14:textId="77777777" w:rsidR="00D156CE" w:rsidRPr="00D156CE" w:rsidRDefault="00D156CE" w:rsidP="00D156CE">
      <w:pPr>
        <w:spacing w:after="200" w:line="276" w:lineRule="auto"/>
        <w:rPr>
          <w:rFonts w:ascii="Tw Cen MT" w:hAnsi="Tw Cen MT"/>
          <w:sz w:val="22"/>
          <w:szCs w:val="20"/>
        </w:rPr>
      </w:pPr>
      <w:r w:rsidRPr="00D156CE">
        <w:rPr>
          <w:rFonts w:ascii="Tw Cen MT" w:hAnsi="Tw Cen MT"/>
          <w:sz w:val="22"/>
          <w:szCs w:val="20"/>
        </w:rPr>
        <w:br w:type="page"/>
      </w:r>
    </w:p>
    <w:p w14:paraId="10018560" w14:textId="77777777" w:rsidR="00D156CE" w:rsidRPr="00D156CE" w:rsidRDefault="00D156CE" w:rsidP="00D156CE">
      <w:pPr>
        <w:keepNext/>
        <w:keepLines/>
        <w:pageBreakBefore/>
        <w:spacing w:before="200" w:after="200" w:line="276" w:lineRule="auto"/>
        <w:jc w:val="center"/>
        <w:outlineLvl w:val="2"/>
        <w:rPr>
          <w:rFonts w:ascii="Tw Cen MT" w:eastAsiaTheme="majorEastAsia" w:hAnsi="Tw Cen MT" w:cstheme="majorBidi"/>
          <w:b/>
          <w:sz w:val="32"/>
          <w:szCs w:val="24"/>
          <w:u w:val="single"/>
        </w:rPr>
      </w:pPr>
      <w:bookmarkStart w:id="1" w:name="_Toc106641462"/>
      <w:r w:rsidRPr="00D156CE">
        <w:rPr>
          <w:rFonts w:ascii="Tw Cen MT" w:eastAsiaTheme="majorEastAsia" w:hAnsi="Tw Cen MT" w:cstheme="majorBidi"/>
          <w:b/>
          <w:sz w:val="32"/>
          <w:szCs w:val="24"/>
          <w:u w:val="single"/>
        </w:rPr>
        <w:t>Framework – Engage with the Real</w:t>
      </w:r>
      <w:bookmarkEnd w:id="1"/>
    </w:p>
    <w:p w14:paraId="25666CF9" w14:textId="77777777" w:rsidR="00D156CE" w:rsidRPr="00D156CE" w:rsidRDefault="00D156CE" w:rsidP="00D156CE">
      <w:pPr>
        <w:keepNext/>
        <w:keepLines/>
        <w:spacing w:before="200" w:after="200" w:line="276" w:lineRule="auto"/>
        <w:outlineLvl w:val="3"/>
        <w:rPr>
          <w:rFonts w:ascii="Tw Cen MT" w:eastAsiaTheme="majorEastAsia" w:hAnsi="Tw Cen MT" w:cstheme="majorBidi"/>
          <w:b/>
          <w:iCs/>
          <w:sz w:val="22"/>
          <w:szCs w:val="20"/>
        </w:rPr>
      </w:pPr>
      <w:r w:rsidRPr="00D156CE">
        <w:rPr>
          <w:rFonts w:ascii="Tw Cen MT" w:eastAsiaTheme="majorEastAsia" w:hAnsi="Tw Cen MT" w:cstheme="majorBidi"/>
          <w:b/>
          <w:iCs/>
          <w:sz w:val="22"/>
          <w:szCs w:val="20"/>
        </w:rPr>
        <w:t xml:space="preserve">Engaging with the physical is necessary to avoid reproducing the status quo. </w:t>
      </w:r>
    </w:p>
    <w:p w14:paraId="656F4FAA" w14:textId="77777777" w:rsidR="00D156CE" w:rsidRPr="00D156CE" w:rsidRDefault="00D156CE" w:rsidP="00D156CE">
      <w:pPr>
        <w:spacing w:after="200" w:line="276" w:lineRule="auto"/>
        <w:rPr>
          <w:rFonts w:ascii="Tw Cen MT" w:hAnsi="Tw Cen MT"/>
          <w:b/>
          <w:sz w:val="16"/>
          <w:szCs w:val="16"/>
        </w:rPr>
      </w:pPr>
      <w:r w:rsidRPr="00D156CE">
        <w:rPr>
          <w:rFonts w:ascii="Tw Cen MT" w:hAnsi="Tw Cen MT"/>
          <w:b/>
          <w:sz w:val="22"/>
          <w:szCs w:val="20"/>
        </w:rPr>
        <w:t xml:space="preserve">Bryant 12 </w:t>
      </w:r>
      <w:r w:rsidRPr="00D156CE">
        <w:rPr>
          <w:rFonts w:ascii="Tw Cen MT" w:hAnsi="Tw Cen MT"/>
          <w:sz w:val="16"/>
          <w:szCs w:val="16"/>
        </w:rPr>
        <w:t xml:space="preserve">Professor of philosophy at Collin College (Levi, We’ll Never Do Better Than a Politician: Climate Change and Purity, 5/11/12, http://larvalsubjects.wordpress.com/2012/05/11/well-never-do-better-than-a-politician-climate-change-and-purity/) </w:t>
      </w:r>
    </w:p>
    <w:p w14:paraId="7A502A56" w14:textId="77777777" w:rsidR="00D156CE" w:rsidRPr="00D156CE" w:rsidRDefault="00D156CE" w:rsidP="00D156CE">
      <w:pPr>
        <w:spacing w:after="200" w:line="276" w:lineRule="auto"/>
        <w:rPr>
          <w:rFonts w:ascii="Tw Cen MT" w:hAnsi="Tw Cen MT"/>
          <w:sz w:val="22"/>
          <w:szCs w:val="20"/>
        </w:rPr>
      </w:pPr>
      <w:r w:rsidRPr="00D156CE">
        <w:rPr>
          <w:rFonts w:ascii="Tw Cen MT" w:hAnsi="Tw Cen MT"/>
          <w:sz w:val="22"/>
          <w:szCs w:val="20"/>
        </w:rPr>
        <w:t>However,</w:t>
      </w:r>
      <w:r w:rsidRPr="00D156CE">
        <w:rPr>
          <w:rFonts w:ascii="Tw Cen MT" w:hAnsi="Tw Cen MT"/>
          <w:sz w:val="22"/>
          <w:szCs w:val="20"/>
          <w:u w:val="single"/>
        </w:rPr>
        <w:t xml:space="preserve"> pointing </w:t>
      </w:r>
      <w:r w:rsidRPr="00D156CE">
        <w:rPr>
          <w:rFonts w:ascii="Tw Cen MT" w:hAnsi="Tw Cen MT"/>
          <w:sz w:val="22"/>
          <w:szCs w:val="20"/>
        </w:rPr>
        <w:t xml:space="preserve">this </w:t>
      </w:r>
      <w:r w:rsidRPr="00D156CE">
        <w:rPr>
          <w:rFonts w:ascii="Tw Cen MT" w:hAnsi="Tw Cen MT"/>
          <w:sz w:val="22"/>
          <w:szCs w:val="20"/>
          <w:u w:val="single"/>
        </w:rPr>
        <w:t xml:space="preserve">out and deriding </w:t>
      </w:r>
      <w:proofErr w:type="gramStart"/>
      <w:r w:rsidRPr="00D156CE">
        <w:rPr>
          <w:rFonts w:ascii="Tw Cen MT" w:hAnsi="Tw Cen MT"/>
          <w:sz w:val="22"/>
          <w:szCs w:val="20"/>
        </w:rPr>
        <w:t>market based</w:t>
      </w:r>
      <w:proofErr w:type="gramEnd"/>
      <w:r w:rsidRPr="00D156CE">
        <w:rPr>
          <w:rFonts w:ascii="Tw Cen MT" w:hAnsi="Tw Cen MT"/>
          <w:sz w:val="22"/>
          <w:szCs w:val="20"/>
        </w:rPr>
        <w:t xml:space="preserve"> </w:t>
      </w:r>
      <w:r w:rsidRPr="00D156CE">
        <w:rPr>
          <w:rFonts w:ascii="Tw Cen MT" w:hAnsi="Tw Cen MT"/>
          <w:sz w:val="22"/>
          <w:szCs w:val="20"/>
          <w:u w:val="single"/>
        </w:rPr>
        <w:t>solutions doesn’t get us very far.</w:t>
      </w:r>
      <w:r w:rsidRPr="00D156CE">
        <w:rPr>
          <w:rFonts w:ascii="Tw Cen MT" w:hAnsi="Tw Cen MT"/>
          <w:sz w:val="22"/>
          <w:szCs w:val="20"/>
        </w:rPr>
        <w:t xml:space="preserve"> In fact, </w:t>
      </w:r>
      <w:r w:rsidRPr="00D156CE">
        <w:rPr>
          <w:rFonts w:ascii="Tw Cen MT" w:hAnsi="Tw Cen MT"/>
          <w:sz w:val="22"/>
          <w:szCs w:val="20"/>
          <w:u w:val="single"/>
        </w:rPr>
        <w:t>such a response</w:t>
      </w:r>
      <w:r w:rsidRPr="00D156CE">
        <w:rPr>
          <w:rFonts w:ascii="Tw Cen MT" w:hAnsi="Tw Cen MT"/>
          <w:sz w:val="22"/>
          <w:szCs w:val="20"/>
        </w:rPr>
        <w:t xml:space="preserve"> to proposed market-based solutions </w:t>
      </w:r>
      <w:r w:rsidRPr="00D156CE">
        <w:rPr>
          <w:rFonts w:ascii="Tw Cen MT" w:hAnsi="Tw Cen MT"/>
          <w:sz w:val="22"/>
          <w:szCs w:val="20"/>
          <w:u w:val="single"/>
        </w:rPr>
        <w:t>is downright dangerous and irresponsible. The fact of the matter is that</w:t>
      </w:r>
      <w:r w:rsidRPr="00D156CE">
        <w:rPr>
          <w:rFonts w:ascii="Tw Cen MT" w:hAnsi="Tw Cen MT"/>
          <w:sz w:val="22"/>
          <w:szCs w:val="20"/>
        </w:rPr>
        <w:t xml:space="preserve"> 1) we currently live in a </w:t>
      </w:r>
      <w:proofErr w:type="gramStart"/>
      <w:r w:rsidRPr="00D156CE">
        <w:rPr>
          <w:rFonts w:ascii="Tw Cen MT" w:hAnsi="Tw Cen MT"/>
          <w:sz w:val="22"/>
          <w:szCs w:val="20"/>
        </w:rPr>
        <w:t>market based</w:t>
      </w:r>
      <w:proofErr w:type="gramEnd"/>
      <w:r w:rsidRPr="00D156CE">
        <w:rPr>
          <w:rFonts w:ascii="Tw Cen MT" w:hAnsi="Tw Cen MT"/>
          <w:sz w:val="22"/>
          <w:szCs w:val="20"/>
        </w:rPr>
        <w:t xml:space="preserve"> world, 2) there is not, in the foreseeable future an alternative system on the horizon, and 3), </w:t>
      </w:r>
      <w:r w:rsidRPr="00D156CE">
        <w:rPr>
          <w:rFonts w:ascii="Tw Cen MT" w:hAnsi="Tw Cen MT"/>
          <w:sz w:val="22"/>
          <w:szCs w:val="20"/>
          <w:u w:val="single"/>
        </w:rPr>
        <w:t xml:space="preserve">above all, </w:t>
      </w:r>
      <w:r w:rsidRPr="00D156CE">
        <w:rPr>
          <w:rFonts w:ascii="Tw Cen MT" w:hAnsi="Tw Cen MT"/>
          <w:sz w:val="22"/>
          <w:szCs w:val="20"/>
          <w:highlight w:val="cyan"/>
          <w:u w:val="single"/>
        </w:rPr>
        <w:t>we need to do something now</w:t>
      </w:r>
      <w:r w:rsidRPr="00D156CE">
        <w:rPr>
          <w:rFonts w:ascii="Tw Cen MT" w:hAnsi="Tw Cen MT"/>
          <w:sz w:val="22"/>
          <w:szCs w:val="20"/>
          <w:u w:val="single"/>
        </w:rPr>
        <w:t xml:space="preserve">. </w:t>
      </w:r>
      <w:r w:rsidRPr="00D156CE">
        <w:rPr>
          <w:rFonts w:ascii="Tw Cen MT" w:hAnsi="Tw Cen MT"/>
          <w:sz w:val="22"/>
          <w:szCs w:val="20"/>
          <w:highlight w:val="cyan"/>
          <w:u w:val="single"/>
        </w:rPr>
        <w:t xml:space="preserve">We can’t afford to reject interventions simply because they don’t meet our ideal </w:t>
      </w:r>
      <w:r w:rsidRPr="00D156CE">
        <w:rPr>
          <w:rFonts w:ascii="Tw Cen MT" w:hAnsi="Tw Cen MT"/>
          <w:sz w:val="22"/>
          <w:szCs w:val="20"/>
          <w:u w:val="single"/>
        </w:rPr>
        <w:t xml:space="preserve">conceptions </w:t>
      </w:r>
      <w:r w:rsidRPr="00D156CE">
        <w:rPr>
          <w:rFonts w:ascii="Tw Cen MT" w:hAnsi="Tw Cen MT"/>
          <w:sz w:val="22"/>
          <w:szCs w:val="20"/>
          <w:highlight w:val="cyan"/>
          <w:u w:val="single"/>
        </w:rPr>
        <w:t>of how things should be</w:t>
      </w:r>
      <w:r w:rsidRPr="00D156CE">
        <w:rPr>
          <w:rFonts w:ascii="Tw Cen MT" w:hAnsi="Tw Cen MT"/>
          <w:sz w:val="22"/>
          <w:szCs w:val="20"/>
          <w:u w:val="single"/>
        </w:rPr>
        <w:t>.</w:t>
      </w:r>
      <w:r w:rsidRPr="00D156CE">
        <w:rPr>
          <w:rFonts w:ascii="Tw Cen MT" w:hAnsi="Tw Cen MT"/>
          <w:sz w:val="22"/>
          <w:szCs w:val="20"/>
        </w:rPr>
        <w:t xml:space="preserve"> </w:t>
      </w:r>
      <w:r w:rsidRPr="00D156CE">
        <w:rPr>
          <w:rFonts w:ascii="Tw Cen MT" w:hAnsi="Tw Cen MT"/>
          <w:sz w:val="22"/>
          <w:szCs w:val="20"/>
          <w:highlight w:val="cyan"/>
          <w:u w:val="single"/>
        </w:rPr>
        <w:t xml:space="preserve">We </w:t>
      </w:r>
      <w:proofErr w:type="gramStart"/>
      <w:r w:rsidRPr="00D156CE">
        <w:rPr>
          <w:rFonts w:ascii="Tw Cen MT" w:hAnsi="Tw Cen MT"/>
          <w:sz w:val="22"/>
          <w:szCs w:val="20"/>
          <w:highlight w:val="cyan"/>
          <w:u w:val="single"/>
        </w:rPr>
        <w:t>have to</w:t>
      </w:r>
      <w:proofErr w:type="gramEnd"/>
      <w:r w:rsidRPr="00D156CE">
        <w:rPr>
          <w:rFonts w:ascii="Tw Cen MT" w:hAnsi="Tw Cen MT"/>
          <w:sz w:val="22"/>
          <w:szCs w:val="20"/>
          <w:highlight w:val="cyan"/>
          <w:u w:val="single"/>
        </w:rPr>
        <w:t xml:space="preserve"> work with the world that is here, not the one that we would like to be here.</w:t>
      </w:r>
      <w:r w:rsidRPr="00D156CE">
        <w:rPr>
          <w:rFonts w:ascii="Tw Cen MT" w:hAnsi="Tw Cen MT"/>
          <w:sz w:val="22"/>
          <w:szCs w:val="20"/>
        </w:rPr>
        <w:t xml:space="preserve"> And here </w:t>
      </w:r>
      <w:r w:rsidRPr="00D156CE">
        <w:rPr>
          <w:rFonts w:ascii="Tw Cen MT" w:hAnsi="Tw Cen MT"/>
          <w:sz w:val="22"/>
          <w:szCs w:val="20"/>
          <w:highlight w:val="cyan"/>
          <w:u w:val="single"/>
        </w:rPr>
        <w:t xml:space="preserve">it’s crucial to note that </w:t>
      </w:r>
      <w:r w:rsidRPr="00D156CE">
        <w:rPr>
          <w:rFonts w:ascii="Tw Cen MT" w:hAnsi="Tw Cen MT"/>
          <w:sz w:val="22"/>
          <w:szCs w:val="20"/>
          <w:u w:val="single"/>
        </w:rPr>
        <w:t xml:space="preserve">pointing </w:t>
      </w:r>
      <w:r w:rsidRPr="00D156CE">
        <w:rPr>
          <w:rFonts w:ascii="Tw Cen MT" w:hAnsi="Tw Cen MT"/>
          <w:sz w:val="22"/>
          <w:szCs w:val="20"/>
          <w:highlight w:val="cyan"/>
          <w:u w:val="single"/>
        </w:rPr>
        <w:t xml:space="preserve">this </w:t>
      </w:r>
      <w:r w:rsidRPr="00D156CE">
        <w:rPr>
          <w:rFonts w:ascii="Tw Cen MT" w:hAnsi="Tw Cen MT"/>
          <w:sz w:val="22"/>
          <w:szCs w:val="20"/>
          <w:u w:val="single"/>
        </w:rPr>
        <w:t xml:space="preserve">out </w:t>
      </w:r>
      <w:r w:rsidRPr="00D156CE">
        <w:rPr>
          <w:rFonts w:ascii="Tw Cen MT" w:hAnsi="Tw Cen MT"/>
          <w:sz w:val="22"/>
          <w:szCs w:val="20"/>
          <w:highlight w:val="cyan"/>
          <w:u w:val="single"/>
        </w:rPr>
        <w:t>does not entail that we shouldn’t work for producing that other world</w:t>
      </w:r>
      <w:r w:rsidRPr="00D156CE">
        <w:rPr>
          <w:rFonts w:ascii="Tw Cen MT" w:hAnsi="Tw Cen MT"/>
          <w:sz w:val="22"/>
          <w:szCs w:val="20"/>
          <w:u w:val="single"/>
        </w:rPr>
        <w:t xml:space="preserve">. </w:t>
      </w:r>
      <w:r w:rsidRPr="00D156CE">
        <w:rPr>
          <w:rFonts w:ascii="Tw Cen MT" w:hAnsi="Tw Cen MT"/>
          <w:sz w:val="22"/>
          <w:szCs w:val="20"/>
          <w:highlight w:val="cyan"/>
          <w:u w:val="single"/>
        </w:rPr>
        <w:t xml:space="preserve">It just means that we have to grapple with the world that is actually </w:t>
      </w:r>
      <w:r w:rsidRPr="00D156CE">
        <w:rPr>
          <w:rFonts w:ascii="Tw Cen MT" w:hAnsi="Tw Cen MT"/>
          <w:sz w:val="22"/>
          <w:szCs w:val="20"/>
          <w:u w:val="single"/>
        </w:rPr>
        <w:t xml:space="preserve">there </w:t>
      </w:r>
      <w:r w:rsidRPr="00D156CE">
        <w:rPr>
          <w:rFonts w:ascii="Tw Cen MT" w:hAnsi="Tw Cen MT"/>
          <w:sz w:val="22"/>
          <w:szCs w:val="20"/>
          <w:highlight w:val="cyan"/>
          <w:u w:val="single"/>
        </w:rPr>
        <w:t xml:space="preserve">before </w:t>
      </w:r>
      <w:proofErr w:type="gramStart"/>
      <w:r w:rsidRPr="00D156CE">
        <w:rPr>
          <w:rFonts w:ascii="Tw Cen MT" w:hAnsi="Tw Cen MT"/>
          <w:sz w:val="22"/>
          <w:szCs w:val="20"/>
          <w:highlight w:val="cyan"/>
          <w:u w:val="single"/>
        </w:rPr>
        <w:t>us.</w:t>
      </w:r>
      <w:r w:rsidRPr="00D156CE">
        <w:rPr>
          <w:rFonts w:ascii="Tw Cen MT" w:hAnsi="Tw Cen MT"/>
          <w:sz w:val="22"/>
          <w:szCs w:val="20"/>
          <w:highlight w:val="cyan"/>
        </w:rPr>
        <w:t>¶</w:t>
      </w:r>
      <w:proofErr w:type="gramEnd"/>
      <w:r w:rsidRPr="00D156CE">
        <w:rPr>
          <w:rFonts w:ascii="Tw Cen MT" w:hAnsi="Tw Cen MT"/>
          <w:sz w:val="22"/>
          <w:szCs w:val="20"/>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Obama, through his profound power of rhetoric, had, at least the power to shift public debates and frames, opening a path to making new forms of policy and new priorities possible. The tragedy was that he didn’t use that power, though he has gotten better.</w:t>
      </w:r>
    </w:p>
    <w:p w14:paraId="70750F90" w14:textId="77777777" w:rsidR="00D156CE" w:rsidRPr="00D156CE" w:rsidRDefault="00D156CE" w:rsidP="00D156CE">
      <w:pPr>
        <w:spacing w:after="200" w:line="276" w:lineRule="auto"/>
        <w:rPr>
          <w:rFonts w:ascii="Tw Cen MT" w:hAnsi="Tw Cen MT"/>
          <w:sz w:val="22"/>
          <w:szCs w:val="20"/>
        </w:rPr>
      </w:pPr>
    </w:p>
    <w:p w14:paraId="55E2FDEC" w14:textId="77777777" w:rsidR="00D156CE" w:rsidRPr="00D156CE" w:rsidRDefault="00D156CE" w:rsidP="00D156CE">
      <w:pPr>
        <w:spacing w:after="200" w:line="276" w:lineRule="auto"/>
        <w:rPr>
          <w:rFonts w:ascii="Tw Cen MT" w:eastAsiaTheme="majorEastAsia" w:hAnsi="Tw Cen MT" w:cstheme="majorBidi"/>
          <w:b/>
          <w:iCs/>
          <w:sz w:val="26"/>
          <w:szCs w:val="20"/>
        </w:rPr>
      </w:pPr>
      <w:r w:rsidRPr="00D156CE">
        <w:rPr>
          <w:rFonts w:ascii="Tw Cen MT" w:hAnsi="Tw Cen MT"/>
          <w:sz w:val="22"/>
          <w:szCs w:val="20"/>
        </w:rPr>
        <w:br w:type="page"/>
      </w:r>
    </w:p>
    <w:p w14:paraId="00343542" w14:textId="77777777" w:rsidR="00D156CE" w:rsidRPr="00D156CE" w:rsidRDefault="00D156CE" w:rsidP="00D156CE">
      <w:pPr>
        <w:keepNext/>
        <w:keepLines/>
        <w:pageBreakBefore/>
        <w:spacing w:before="200" w:after="200" w:line="276" w:lineRule="auto"/>
        <w:jc w:val="center"/>
        <w:outlineLvl w:val="2"/>
        <w:rPr>
          <w:rFonts w:ascii="Tw Cen MT" w:eastAsiaTheme="majorEastAsia" w:hAnsi="Tw Cen MT" w:cstheme="majorBidi"/>
          <w:b/>
          <w:sz w:val="32"/>
          <w:szCs w:val="24"/>
          <w:u w:val="single"/>
        </w:rPr>
      </w:pPr>
      <w:bookmarkStart w:id="2" w:name="_Toc106641463"/>
      <w:r w:rsidRPr="00D156CE">
        <w:rPr>
          <w:rFonts w:ascii="Tw Cen MT" w:eastAsiaTheme="majorEastAsia" w:hAnsi="Tw Cen MT" w:cstheme="majorBidi"/>
          <w:b/>
          <w:sz w:val="32"/>
          <w:szCs w:val="24"/>
          <w:u w:val="single"/>
        </w:rPr>
        <w:t>Solvency</w:t>
      </w:r>
      <w:bookmarkEnd w:id="2"/>
    </w:p>
    <w:p w14:paraId="6DEBD561" w14:textId="77777777" w:rsidR="00D156CE" w:rsidRPr="00D156CE" w:rsidRDefault="00D156CE" w:rsidP="00D156CE">
      <w:pPr>
        <w:keepNext/>
        <w:keepLines/>
        <w:spacing w:before="200" w:after="200" w:line="276" w:lineRule="auto"/>
        <w:outlineLvl w:val="3"/>
        <w:rPr>
          <w:rFonts w:ascii="Tw Cen MT" w:eastAsiaTheme="majorEastAsia" w:hAnsi="Tw Cen MT" w:cstheme="majorBidi"/>
          <w:b/>
          <w:iCs/>
          <w:sz w:val="22"/>
          <w:szCs w:val="20"/>
        </w:rPr>
      </w:pPr>
      <w:r w:rsidRPr="00D156CE">
        <w:rPr>
          <w:rFonts w:ascii="Tw Cen MT" w:eastAsiaTheme="majorEastAsia" w:hAnsi="Tw Cen MT" w:cstheme="majorBidi"/>
          <w:b/>
          <w:iCs/>
          <w:sz w:val="22"/>
          <w:szCs w:val="20"/>
        </w:rPr>
        <w:t>Extend your affirmative plan here, tying an explanation into why the judge should prefer your argument below. Consider the following questions:</w:t>
      </w:r>
    </w:p>
    <w:p w14:paraId="0B65D11F" w14:textId="77777777" w:rsidR="00D156CE" w:rsidRPr="00D156CE" w:rsidRDefault="00D156CE" w:rsidP="00D156CE">
      <w:pPr>
        <w:numPr>
          <w:ilvl w:val="0"/>
          <w:numId w:val="11"/>
        </w:numPr>
        <w:spacing w:after="160" w:line="259" w:lineRule="auto"/>
        <w:contextualSpacing/>
        <w:rPr>
          <w:rFonts w:ascii="Tw Cen MT" w:hAnsi="Tw Cen MT"/>
          <w:sz w:val="22"/>
          <w:szCs w:val="20"/>
        </w:rPr>
      </w:pPr>
      <w:r w:rsidRPr="00D156CE">
        <w:rPr>
          <w:rFonts w:ascii="Tw Cen MT" w:hAnsi="Tw Cen MT"/>
          <w:sz w:val="22"/>
          <w:szCs w:val="20"/>
        </w:rPr>
        <w:t>Why would your plan be better than the alternative method the negative proposes?</w:t>
      </w:r>
    </w:p>
    <w:p w14:paraId="5C143CE5" w14:textId="77777777" w:rsidR="00D156CE" w:rsidRPr="00D156CE" w:rsidRDefault="00D156CE" w:rsidP="00D156CE">
      <w:pPr>
        <w:numPr>
          <w:ilvl w:val="0"/>
          <w:numId w:val="11"/>
        </w:numPr>
        <w:spacing w:after="160" w:line="259" w:lineRule="auto"/>
        <w:contextualSpacing/>
        <w:rPr>
          <w:rFonts w:ascii="Tw Cen MT" w:hAnsi="Tw Cen MT"/>
          <w:sz w:val="22"/>
          <w:szCs w:val="20"/>
        </w:rPr>
      </w:pPr>
      <w:r w:rsidRPr="00D156CE">
        <w:rPr>
          <w:rFonts w:ascii="Tw Cen MT" w:hAnsi="Tw Cen MT"/>
          <w:sz w:val="22"/>
          <w:szCs w:val="20"/>
        </w:rPr>
        <w:t xml:space="preserve">Why is it important to solve for the affirmative? </w:t>
      </w:r>
    </w:p>
    <w:p w14:paraId="0F710499" w14:textId="77777777" w:rsidR="00D156CE" w:rsidRPr="00D156CE" w:rsidRDefault="00D156CE" w:rsidP="00D156CE">
      <w:pPr>
        <w:numPr>
          <w:ilvl w:val="0"/>
          <w:numId w:val="11"/>
        </w:numPr>
        <w:spacing w:after="160" w:line="259" w:lineRule="auto"/>
        <w:contextualSpacing/>
        <w:rPr>
          <w:rFonts w:ascii="Tw Cen MT" w:hAnsi="Tw Cen MT"/>
          <w:sz w:val="22"/>
          <w:szCs w:val="20"/>
        </w:rPr>
      </w:pPr>
      <w:r w:rsidRPr="00D156CE">
        <w:rPr>
          <w:rFonts w:ascii="Tw Cen MT" w:hAnsi="Tw Cen MT"/>
          <w:sz w:val="22"/>
          <w:szCs w:val="20"/>
        </w:rPr>
        <w:t>Does prioritizing conceptual violence over actual violence truly benefit anyone?</w:t>
      </w:r>
    </w:p>
    <w:p w14:paraId="7DCA082B" w14:textId="77777777" w:rsidR="00D156CE" w:rsidRPr="00D156CE" w:rsidRDefault="00D156CE" w:rsidP="00D156CE">
      <w:pPr>
        <w:spacing w:after="200" w:line="276" w:lineRule="auto"/>
        <w:rPr>
          <w:rFonts w:ascii="Tw Cen MT" w:hAnsi="Tw Cen MT"/>
          <w:sz w:val="22"/>
          <w:szCs w:val="20"/>
        </w:rPr>
      </w:pPr>
      <w:r w:rsidRPr="00D156CE">
        <w:rPr>
          <w:rFonts w:ascii="Tw Cen MT" w:hAnsi="Tw Cen MT"/>
          <w:sz w:val="22"/>
          <w:szCs w:val="20"/>
        </w:rPr>
        <w:br w:type="page"/>
      </w:r>
    </w:p>
    <w:p w14:paraId="4AA8485D" w14:textId="77777777" w:rsidR="00D156CE" w:rsidRPr="00D156CE" w:rsidRDefault="00D156CE" w:rsidP="00D156CE">
      <w:pPr>
        <w:keepNext/>
        <w:keepLines/>
        <w:pageBreakBefore/>
        <w:spacing w:before="200" w:after="200" w:line="276" w:lineRule="auto"/>
        <w:jc w:val="center"/>
        <w:outlineLvl w:val="2"/>
        <w:rPr>
          <w:rFonts w:ascii="Tw Cen MT" w:eastAsiaTheme="majorEastAsia" w:hAnsi="Tw Cen MT" w:cstheme="majorBidi"/>
          <w:b/>
          <w:sz w:val="32"/>
          <w:szCs w:val="24"/>
          <w:u w:val="single"/>
        </w:rPr>
      </w:pPr>
      <w:bookmarkStart w:id="3" w:name="_Toc106641464"/>
      <w:r w:rsidRPr="00D156CE">
        <w:rPr>
          <w:rFonts w:ascii="Tw Cen MT" w:eastAsiaTheme="majorEastAsia" w:hAnsi="Tw Cen MT" w:cstheme="majorBidi"/>
          <w:b/>
          <w:sz w:val="32"/>
          <w:szCs w:val="24"/>
          <w:u w:val="single"/>
        </w:rPr>
        <w:t>Offense</w:t>
      </w:r>
      <w:bookmarkEnd w:id="3"/>
    </w:p>
    <w:p w14:paraId="34ED039C" w14:textId="77777777" w:rsidR="00D156CE" w:rsidRPr="00D156CE" w:rsidRDefault="00D156CE" w:rsidP="00D156CE">
      <w:pPr>
        <w:keepNext/>
        <w:keepLines/>
        <w:spacing w:before="200" w:after="200" w:line="276" w:lineRule="auto"/>
        <w:outlineLvl w:val="3"/>
        <w:rPr>
          <w:rFonts w:ascii="Tw Cen MT" w:eastAsiaTheme="majorEastAsia" w:hAnsi="Tw Cen MT" w:cstheme="majorBidi"/>
          <w:b/>
          <w:iCs/>
          <w:sz w:val="22"/>
          <w:szCs w:val="20"/>
        </w:rPr>
      </w:pPr>
      <w:r w:rsidRPr="00D156CE">
        <w:rPr>
          <w:rFonts w:ascii="Tw Cen MT" w:eastAsiaTheme="majorEastAsia" w:hAnsi="Tw Cen MT" w:cstheme="majorBidi"/>
          <w:b/>
          <w:iCs/>
          <w:sz w:val="22"/>
          <w:szCs w:val="20"/>
        </w:rPr>
        <w:t>Strategic action is key – the alternative only recreates the most violent aspects of their impact claims. Only through urgent, real action can we hope to solve any of their impacts.</w:t>
      </w:r>
    </w:p>
    <w:p w14:paraId="03B039C3" w14:textId="77777777" w:rsidR="00D156CE" w:rsidRPr="00D156CE" w:rsidRDefault="00D156CE" w:rsidP="00D156CE">
      <w:pPr>
        <w:spacing w:after="200" w:line="276" w:lineRule="auto"/>
        <w:rPr>
          <w:rFonts w:ascii="Tw Cen MT" w:hAnsi="Tw Cen MT"/>
          <w:b/>
          <w:sz w:val="22"/>
          <w:szCs w:val="20"/>
        </w:rPr>
      </w:pPr>
      <w:r w:rsidRPr="00D156CE">
        <w:rPr>
          <w:rFonts w:ascii="Tw Cen MT" w:hAnsi="Tw Cen MT"/>
          <w:b/>
          <w:sz w:val="22"/>
          <w:szCs w:val="20"/>
        </w:rPr>
        <w:t xml:space="preserve">Liotta ’15 </w:t>
      </w:r>
      <w:r w:rsidRPr="00D156CE">
        <w:rPr>
          <w:rFonts w:ascii="Tw Cen MT" w:hAnsi="Tw Cen MT"/>
          <w:sz w:val="22"/>
          <w:szCs w:val="20"/>
        </w:rPr>
        <w:t>(P.H. Liotta Professor of Humanities at Salve Regina University, Newport, RI, and Executive Director of the Pell Center for International Relations and Public Policy) 2005 “Through the Looking Glass” Sage Publications</w:t>
      </w:r>
    </w:p>
    <w:p w14:paraId="1AA4A943" w14:textId="77777777" w:rsidR="00D156CE" w:rsidRPr="00D156CE" w:rsidRDefault="00D156CE" w:rsidP="00D156CE">
      <w:pPr>
        <w:spacing w:after="200" w:line="276" w:lineRule="auto"/>
        <w:rPr>
          <w:rFonts w:ascii="Tw Cen MT" w:hAnsi="Tw Cen MT"/>
          <w:sz w:val="22"/>
          <w:szCs w:val="20"/>
          <w:u w:val="single"/>
        </w:rPr>
      </w:pPr>
      <w:r w:rsidRPr="00D156CE">
        <w:rPr>
          <w:rFonts w:ascii="Tw Cen MT" w:hAnsi="Tw Cen MT"/>
          <w:sz w:val="22"/>
          <w:szCs w:val="20"/>
          <w:highlight w:val="cyan"/>
          <w:u w:val="single"/>
        </w:rPr>
        <w:t>Although it seems attractive to focus</w:t>
      </w:r>
      <w:r w:rsidRPr="00D156CE">
        <w:rPr>
          <w:rFonts w:ascii="Tw Cen MT" w:hAnsi="Tw Cen MT"/>
          <w:sz w:val="22"/>
          <w:szCs w:val="20"/>
          <w:u w:val="single"/>
        </w:rPr>
        <w:t xml:space="preserve"> on exclusionary concepts that insist </w:t>
      </w:r>
      <w:r w:rsidRPr="00D156CE">
        <w:rPr>
          <w:rFonts w:ascii="Tw Cen MT" w:hAnsi="Tw Cen MT"/>
          <w:sz w:val="22"/>
          <w:szCs w:val="20"/>
          <w:highlight w:val="cyan"/>
          <w:u w:val="single"/>
        </w:rPr>
        <w:t xml:space="preserve">on </w:t>
      </w:r>
      <w:proofErr w:type="spellStart"/>
      <w:r w:rsidRPr="00D156CE">
        <w:rPr>
          <w:rFonts w:ascii="Tw Cen MT" w:hAnsi="Tw Cen MT"/>
          <w:sz w:val="22"/>
          <w:szCs w:val="20"/>
          <w:highlight w:val="cyan"/>
          <w:u w:val="single"/>
        </w:rPr>
        <w:t>desecuritization</w:t>
      </w:r>
      <w:proofErr w:type="spellEnd"/>
      <w:r w:rsidRPr="00D156CE">
        <w:rPr>
          <w:rFonts w:ascii="Tw Cen MT" w:hAnsi="Tw Cen MT"/>
          <w:sz w:val="22"/>
          <w:szCs w:val="20"/>
          <w:u w:val="single"/>
        </w:rPr>
        <w:t>,</w:t>
      </w:r>
      <w:r w:rsidRPr="00D156CE">
        <w:rPr>
          <w:rFonts w:ascii="Tw Cen MT" w:hAnsi="Tw Cen MT"/>
          <w:sz w:val="22"/>
          <w:szCs w:val="20"/>
        </w:rPr>
        <w:t xml:space="preserve"> privileged referent objects, and the ‘belief’ that threats and vulnerabilities are little more than social constructions (Grayson, 2003), all </w:t>
      </w:r>
      <w:r w:rsidRPr="00D156CE">
        <w:rPr>
          <w:rFonts w:ascii="Tw Cen MT" w:hAnsi="Tw Cen MT"/>
          <w:sz w:val="22"/>
          <w:szCs w:val="20"/>
          <w:highlight w:val="cyan"/>
          <w:u w:val="single"/>
        </w:rPr>
        <w:t>these concepts work in theory but fail in practice</w:t>
      </w:r>
      <w:r w:rsidRPr="00D156CE">
        <w:rPr>
          <w:rFonts w:ascii="Tw Cen MT" w:hAnsi="Tw Cen MT"/>
          <w:sz w:val="22"/>
          <w:szCs w:val="20"/>
          <w:u w:val="single"/>
        </w:rPr>
        <w:t>.</w:t>
      </w:r>
      <w:r w:rsidRPr="00D156CE">
        <w:rPr>
          <w:rFonts w:ascii="Tw Cen MT" w:hAnsi="Tw Cen MT"/>
          <w:sz w:val="22"/>
          <w:szCs w:val="20"/>
        </w:rPr>
        <w:t xml:space="preserve"> While it may be true that national security paradigms can, and likely will, continue to dominate issues that involve human security vulnerabilities – and even in some instances mistakenly confuse ‘vulnerabilities’ as ‘threats’ – </w:t>
      </w:r>
      <w:r w:rsidRPr="00D156CE">
        <w:rPr>
          <w:rFonts w:ascii="Tw Cen MT" w:hAnsi="Tw Cen MT"/>
          <w:sz w:val="22"/>
          <w:szCs w:val="20"/>
          <w:u w:val="single"/>
        </w:rPr>
        <w:t>there are distinct linkages between these security concepts and applications.</w:t>
      </w:r>
      <w:r w:rsidRPr="00D156CE">
        <w:rPr>
          <w:rFonts w:ascii="Tw Cen MT" w:hAnsi="Tw Cen MT"/>
          <w:sz w:val="22"/>
          <w:szCs w:val="20"/>
        </w:rPr>
        <w:t xml:space="preserve"> </w:t>
      </w:r>
      <w:proofErr w:type="gramStart"/>
      <w:r w:rsidRPr="00D156CE">
        <w:rPr>
          <w:rFonts w:ascii="Tw Cen MT" w:hAnsi="Tw Cen MT"/>
          <w:sz w:val="22"/>
          <w:szCs w:val="20"/>
        </w:rPr>
        <w:t>With regard to</w:t>
      </w:r>
      <w:proofErr w:type="gramEnd"/>
      <w:r w:rsidRPr="00D156CE">
        <w:rPr>
          <w:rFonts w:ascii="Tw Cen MT" w:hAnsi="Tw Cen MT"/>
          <w:sz w:val="22"/>
          <w:szCs w:val="20"/>
        </w:rPr>
        <w:t xml:space="preserve"> environmental security, for example, Myers (1986: 251) recognized these linkages nearly two decades ago: </w:t>
      </w:r>
      <w:r w:rsidRPr="00D156CE">
        <w:rPr>
          <w:rFonts w:ascii="Tw Cen MT" w:hAnsi="Tw Cen MT"/>
          <w:sz w:val="22"/>
          <w:szCs w:val="20"/>
          <w:highlight w:val="cyan"/>
          <w:u w:val="single"/>
        </w:rPr>
        <w:t>National security is not just about fighting forces and weaponry</w:t>
      </w:r>
      <w:r w:rsidRPr="00D156CE">
        <w:rPr>
          <w:rFonts w:ascii="Tw Cen MT" w:hAnsi="Tw Cen MT"/>
          <w:sz w:val="22"/>
          <w:szCs w:val="20"/>
          <w:u w:val="single"/>
        </w:rPr>
        <w:t xml:space="preserve">. </w:t>
      </w:r>
      <w:r w:rsidRPr="00D156CE">
        <w:rPr>
          <w:rFonts w:ascii="Tw Cen MT" w:hAnsi="Tw Cen MT"/>
          <w:sz w:val="22"/>
          <w:szCs w:val="20"/>
          <w:highlight w:val="cyan"/>
          <w:u w:val="single"/>
        </w:rPr>
        <w:t>It relates to</w:t>
      </w:r>
      <w:r w:rsidRPr="00D156CE">
        <w:rPr>
          <w:rFonts w:ascii="Tw Cen MT" w:hAnsi="Tw Cen MT"/>
          <w:sz w:val="22"/>
          <w:szCs w:val="20"/>
          <w:u w:val="single"/>
        </w:rPr>
        <w:t xml:space="preserve"> watersheds, croplands, </w:t>
      </w:r>
      <w:r w:rsidRPr="00D156CE">
        <w:rPr>
          <w:rFonts w:ascii="Tw Cen MT" w:hAnsi="Tw Cen MT"/>
          <w:sz w:val="22"/>
          <w:szCs w:val="20"/>
          <w:highlight w:val="cyan"/>
          <w:u w:val="single"/>
        </w:rPr>
        <w:t>forests,</w:t>
      </w:r>
      <w:r w:rsidRPr="00D156CE">
        <w:rPr>
          <w:rFonts w:ascii="Tw Cen MT" w:hAnsi="Tw Cen MT"/>
          <w:sz w:val="22"/>
          <w:szCs w:val="20"/>
          <w:u w:val="single"/>
        </w:rPr>
        <w:t xml:space="preserve"> genetic resources, </w:t>
      </w:r>
      <w:proofErr w:type="gramStart"/>
      <w:r w:rsidRPr="00D156CE">
        <w:rPr>
          <w:rFonts w:ascii="Tw Cen MT" w:hAnsi="Tw Cen MT"/>
          <w:sz w:val="22"/>
          <w:szCs w:val="20"/>
          <w:highlight w:val="cyan"/>
          <w:u w:val="single"/>
        </w:rPr>
        <w:t>climate</w:t>
      </w:r>
      <w:proofErr w:type="gramEnd"/>
      <w:r w:rsidRPr="00D156CE">
        <w:rPr>
          <w:rFonts w:ascii="Tw Cen MT" w:hAnsi="Tw Cen MT"/>
          <w:sz w:val="22"/>
          <w:szCs w:val="20"/>
          <w:highlight w:val="cyan"/>
          <w:u w:val="single"/>
        </w:rPr>
        <w:t xml:space="preserve"> and other factors that rarely figure in the minds of military experts</w:t>
      </w:r>
      <w:r w:rsidRPr="00D156CE">
        <w:rPr>
          <w:rFonts w:ascii="Tw Cen MT" w:hAnsi="Tw Cen MT"/>
          <w:sz w:val="22"/>
          <w:szCs w:val="20"/>
          <w:u w:val="single"/>
        </w:rPr>
        <w:t xml:space="preserve"> and political leaders, </w:t>
      </w:r>
      <w:r w:rsidRPr="00D156CE">
        <w:rPr>
          <w:rFonts w:ascii="Tw Cen MT" w:hAnsi="Tw Cen MT"/>
          <w:sz w:val="22"/>
          <w:szCs w:val="20"/>
          <w:highlight w:val="cyan"/>
          <w:u w:val="single"/>
        </w:rPr>
        <w:t xml:space="preserve">but </w:t>
      </w:r>
      <w:r w:rsidRPr="00D156CE">
        <w:rPr>
          <w:rFonts w:ascii="Tw Cen MT" w:hAnsi="Tw Cen MT"/>
          <w:sz w:val="22"/>
          <w:szCs w:val="20"/>
          <w:u w:val="single"/>
        </w:rPr>
        <w:t xml:space="preserve">increasingly </w:t>
      </w:r>
      <w:r w:rsidRPr="00D156CE">
        <w:rPr>
          <w:rFonts w:ascii="Tw Cen MT" w:hAnsi="Tw Cen MT"/>
          <w:sz w:val="22"/>
          <w:szCs w:val="20"/>
          <w:highlight w:val="cyan"/>
          <w:u w:val="single"/>
        </w:rPr>
        <w:t>deserve</w:t>
      </w:r>
      <w:r w:rsidRPr="00D156CE">
        <w:rPr>
          <w:rFonts w:ascii="Tw Cen MT" w:hAnsi="Tw Cen MT"/>
          <w:sz w:val="22"/>
          <w:szCs w:val="20"/>
          <w:u w:val="single"/>
        </w:rPr>
        <w:t xml:space="preserve">, in their collectivity, </w:t>
      </w:r>
      <w:r w:rsidRPr="00D156CE">
        <w:rPr>
          <w:rFonts w:ascii="Tw Cen MT" w:hAnsi="Tw Cen MT"/>
          <w:sz w:val="22"/>
          <w:szCs w:val="20"/>
          <w:highlight w:val="cyan"/>
          <w:u w:val="single"/>
        </w:rPr>
        <w:t>to rank alongside military approaches as crucial in a nation’s security</w:t>
      </w:r>
      <w:r w:rsidRPr="00D156CE">
        <w:rPr>
          <w:rFonts w:ascii="Tw Cen MT" w:hAnsi="Tw Cen MT"/>
          <w:sz w:val="22"/>
          <w:szCs w:val="20"/>
        </w:rPr>
        <w:t xml:space="preserve">. Ultimately, we are far from what O’Hanlon &amp; Singer (2004) term a global intervention capability on behalf of ‘humanitarian transformation’. Granted, we now have the threat of mass casualty terrorism anytime, anywhere – and states and regions are responding differently to this challenge. Yet, the global community today also faces many of the same problems of the 1990s: civil wars, faltering states, humanitarian crises. We are nowhere closer </w:t>
      </w:r>
      <w:proofErr w:type="spellStart"/>
      <w:r w:rsidRPr="00D156CE">
        <w:rPr>
          <w:rFonts w:ascii="Tw Cen MT" w:hAnsi="Tw Cen MT"/>
          <w:sz w:val="22"/>
          <w:szCs w:val="20"/>
        </w:rPr>
        <w:t>toaddressing</w:t>
      </w:r>
      <w:proofErr w:type="spellEnd"/>
      <w:r w:rsidRPr="00D156CE">
        <w:rPr>
          <w:rFonts w:ascii="Tw Cen MT" w:hAnsi="Tw Cen MT"/>
          <w:sz w:val="22"/>
          <w:szCs w:val="20"/>
        </w:rPr>
        <w:t xml:space="preserve"> how best to solve these challenges, even as they affect issues of environmental, human, national (and even ‘embedded’) security. Recently, there have been </w:t>
      </w:r>
      <w:proofErr w:type="gramStart"/>
      <w:r w:rsidRPr="00D156CE">
        <w:rPr>
          <w:rFonts w:ascii="Tw Cen MT" w:hAnsi="Tw Cen MT"/>
          <w:sz w:val="22"/>
          <w:szCs w:val="20"/>
        </w:rPr>
        <w:t>a number of</w:t>
      </w:r>
      <w:proofErr w:type="gramEnd"/>
      <w:r w:rsidRPr="00D156CE">
        <w:rPr>
          <w:rFonts w:ascii="Tw Cen MT" w:hAnsi="Tw Cen MT"/>
          <w:sz w:val="22"/>
          <w:szCs w:val="20"/>
        </w:rPr>
        <w:t xml:space="preserve"> voices that have spoken out on what the International Commission on Intervention and State Sovereignty has termed the ‘responsibility to protect’:10 the responsibility of some agency or state (whether it be a superpower such as the United States or an institution such as the United Nations) to enforce the principle of security that sovereign states owe to their citizens. </w:t>
      </w:r>
      <w:r w:rsidRPr="00D156CE">
        <w:rPr>
          <w:rFonts w:ascii="Tw Cen MT" w:hAnsi="Tw Cen MT"/>
          <w:sz w:val="22"/>
          <w:szCs w:val="20"/>
          <w:u w:val="single"/>
        </w:rPr>
        <w:t xml:space="preserve">Yet, </w:t>
      </w:r>
      <w:r w:rsidRPr="00D156CE">
        <w:rPr>
          <w:rFonts w:ascii="Tw Cen MT" w:hAnsi="Tw Cen MT"/>
          <w:sz w:val="22"/>
          <w:szCs w:val="20"/>
          <w:highlight w:val="cyan"/>
          <w:u w:val="single"/>
        </w:rPr>
        <w:t>the creation of a sense of urgency to act</w:t>
      </w:r>
      <w:r w:rsidRPr="00D156CE">
        <w:rPr>
          <w:rFonts w:ascii="Tw Cen MT" w:hAnsi="Tw Cen MT"/>
          <w:sz w:val="22"/>
          <w:szCs w:val="20"/>
          <w:u w:val="single"/>
        </w:rPr>
        <w:t xml:space="preserve"> – even on some issues that may not have some impact for years or even decades to come – </w:t>
      </w:r>
      <w:r w:rsidRPr="00D156CE">
        <w:rPr>
          <w:rFonts w:ascii="Tw Cen MT" w:hAnsi="Tw Cen MT"/>
          <w:sz w:val="22"/>
          <w:szCs w:val="20"/>
          <w:highlight w:val="cyan"/>
          <w:u w:val="single"/>
        </w:rPr>
        <w:t>is perhaps the only appropriate</w:t>
      </w:r>
      <w:r w:rsidRPr="00D156CE">
        <w:rPr>
          <w:rFonts w:ascii="Tw Cen MT" w:hAnsi="Tw Cen MT"/>
          <w:sz w:val="22"/>
          <w:szCs w:val="20"/>
          <w:u w:val="single"/>
        </w:rPr>
        <w:t xml:space="preserve"> first </w:t>
      </w:r>
      <w:r w:rsidRPr="00D156CE">
        <w:rPr>
          <w:rFonts w:ascii="Tw Cen MT" w:hAnsi="Tw Cen MT"/>
          <w:sz w:val="22"/>
          <w:szCs w:val="20"/>
          <w:highlight w:val="cyan"/>
          <w:u w:val="single"/>
        </w:rPr>
        <w:t>response</w:t>
      </w:r>
      <w:r w:rsidRPr="00D156CE">
        <w:rPr>
          <w:rFonts w:ascii="Tw Cen MT" w:hAnsi="Tw Cen MT"/>
          <w:sz w:val="22"/>
          <w:szCs w:val="20"/>
          <w:u w:val="single"/>
        </w:rPr>
        <w:t>. The real cost of not investing in the right way and early enough in the places where trends and effects are accelerating in the wrong direction is likely to be decades and decades of economic and political frustration – and, potentially, military engagement.</w:t>
      </w:r>
    </w:p>
    <w:p w14:paraId="39FE2464" w14:textId="77777777" w:rsidR="00D156CE" w:rsidRPr="00D156CE" w:rsidRDefault="00D156CE" w:rsidP="00D156CE">
      <w:pPr>
        <w:spacing w:after="200" w:line="276" w:lineRule="auto"/>
        <w:rPr>
          <w:rFonts w:ascii="Tw Cen MT" w:hAnsi="Tw Cen MT"/>
          <w:sz w:val="22"/>
          <w:szCs w:val="20"/>
          <w:u w:val="single"/>
        </w:rPr>
      </w:pPr>
      <w:r w:rsidRPr="00D156CE">
        <w:rPr>
          <w:rFonts w:ascii="Tw Cen MT" w:hAnsi="Tw Cen MT"/>
          <w:sz w:val="22"/>
          <w:szCs w:val="20"/>
          <w:u w:val="single"/>
        </w:rPr>
        <w:br w:type="page"/>
      </w:r>
    </w:p>
    <w:p w14:paraId="65C6DAE1" w14:textId="77777777" w:rsidR="00D156CE" w:rsidRPr="00D156CE" w:rsidRDefault="00D156CE" w:rsidP="00D156CE">
      <w:pPr>
        <w:keepNext/>
        <w:keepLines/>
        <w:pageBreakBefore/>
        <w:spacing w:before="200" w:after="200" w:line="276" w:lineRule="auto"/>
        <w:jc w:val="center"/>
        <w:outlineLvl w:val="2"/>
        <w:rPr>
          <w:rFonts w:ascii="Tw Cen MT" w:eastAsiaTheme="majorEastAsia" w:hAnsi="Tw Cen MT" w:cstheme="majorBidi"/>
          <w:b/>
          <w:sz w:val="32"/>
          <w:szCs w:val="24"/>
          <w:u w:val="single"/>
        </w:rPr>
      </w:pPr>
      <w:bookmarkStart w:id="4" w:name="_Toc106641465"/>
      <w:r w:rsidRPr="00D156CE">
        <w:rPr>
          <w:rFonts w:ascii="Tw Cen MT" w:eastAsiaTheme="majorEastAsia" w:hAnsi="Tw Cen MT" w:cstheme="majorBidi"/>
          <w:b/>
          <w:sz w:val="32"/>
          <w:szCs w:val="24"/>
          <w:u w:val="single"/>
        </w:rPr>
        <w:t>Permutation</w:t>
      </w:r>
      <w:bookmarkEnd w:id="4"/>
    </w:p>
    <w:p w14:paraId="18C7DFAE" w14:textId="77777777" w:rsidR="00D156CE" w:rsidRPr="00D156CE" w:rsidRDefault="00D156CE" w:rsidP="00D156CE">
      <w:pPr>
        <w:numPr>
          <w:ilvl w:val="0"/>
          <w:numId w:val="12"/>
        </w:numPr>
        <w:pBdr>
          <w:top w:val="dotted" w:sz="6" w:space="2" w:color="5B9BD5" w:themeColor="accent1"/>
        </w:pBdr>
        <w:tabs>
          <w:tab w:val="num" w:pos="1800"/>
        </w:tabs>
        <w:spacing w:before="200" w:after="200" w:line="276" w:lineRule="auto"/>
        <w:ind w:left="1800"/>
        <w:outlineLvl w:val="3"/>
        <w:rPr>
          <w:rFonts w:ascii="Tw Cen MT" w:eastAsiaTheme="majorEastAsia" w:hAnsi="Tw Cen MT" w:cstheme="majorBidi"/>
          <w:b/>
          <w:iCs/>
          <w:sz w:val="22"/>
          <w:szCs w:val="20"/>
        </w:rPr>
      </w:pPr>
      <w:r w:rsidRPr="00D156CE">
        <w:rPr>
          <w:rFonts w:ascii="Tw Cen MT" w:eastAsiaTheme="majorEastAsia" w:hAnsi="Tw Cen MT" w:cstheme="majorBidi"/>
          <w:b/>
          <w:iCs/>
          <w:sz w:val="22"/>
          <w:szCs w:val="20"/>
        </w:rPr>
        <w:t xml:space="preserve">The affirmative proposes that we perm: Doing both the aff </w:t>
      </w:r>
      <w:proofErr w:type="spellStart"/>
      <w:r w:rsidRPr="00D156CE">
        <w:rPr>
          <w:rFonts w:ascii="Tw Cen MT" w:eastAsiaTheme="majorEastAsia" w:hAnsi="Tw Cen MT" w:cstheme="majorBidi"/>
          <w:b/>
          <w:iCs/>
          <w:sz w:val="22"/>
          <w:szCs w:val="20"/>
        </w:rPr>
        <w:t>plantext</w:t>
      </w:r>
      <w:proofErr w:type="spellEnd"/>
      <w:r w:rsidRPr="00D156CE">
        <w:rPr>
          <w:rFonts w:ascii="Tw Cen MT" w:eastAsiaTheme="majorEastAsia" w:hAnsi="Tw Cen MT" w:cstheme="majorBidi"/>
          <w:b/>
          <w:iCs/>
          <w:sz w:val="22"/>
          <w:szCs w:val="20"/>
        </w:rPr>
        <w:t xml:space="preserve"> and negative alternative method.</w:t>
      </w:r>
    </w:p>
    <w:p w14:paraId="46DCC5F1" w14:textId="77777777" w:rsidR="00D156CE" w:rsidRPr="00D156CE" w:rsidRDefault="00D156CE" w:rsidP="00D156CE">
      <w:pPr>
        <w:numPr>
          <w:ilvl w:val="0"/>
          <w:numId w:val="12"/>
        </w:numPr>
        <w:pBdr>
          <w:top w:val="dotted" w:sz="6" w:space="2" w:color="5B9BD5" w:themeColor="accent1"/>
        </w:pBdr>
        <w:tabs>
          <w:tab w:val="num" w:pos="1800"/>
        </w:tabs>
        <w:spacing w:before="200" w:after="200" w:line="276" w:lineRule="auto"/>
        <w:ind w:left="1800"/>
        <w:outlineLvl w:val="3"/>
        <w:rPr>
          <w:rFonts w:ascii="Tw Cen MT" w:eastAsiaTheme="majorEastAsia" w:hAnsi="Tw Cen MT" w:cstheme="majorBidi"/>
          <w:b/>
          <w:iCs/>
          <w:sz w:val="22"/>
          <w:szCs w:val="20"/>
        </w:rPr>
      </w:pPr>
      <w:r w:rsidRPr="00D156CE">
        <w:rPr>
          <w:rFonts w:ascii="Tw Cen MT" w:eastAsiaTheme="majorEastAsia" w:hAnsi="Tw Cen MT" w:cstheme="majorBidi"/>
          <w:b/>
          <w:iCs/>
          <w:sz w:val="22"/>
          <w:szCs w:val="20"/>
        </w:rPr>
        <w:t xml:space="preserve">While our affirmative resolves material impacts, the negatives’ method solves structural ones.  </w:t>
      </w:r>
    </w:p>
    <w:p w14:paraId="1EA27D14" w14:textId="77777777" w:rsidR="00D156CE" w:rsidRPr="00D156CE" w:rsidRDefault="00D156CE" w:rsidP="00D156CE">
      <w:pPr>
        <w:spacing w:after="200" w:line="276" w:lineRule="auto"/>
        <w:rPr>
          <w:rFonts w:ascii="Tw Cen MT" w:hAnsi="Tw Cen MT"/>
          <w:sz w:val="22"/>
          <w:szCs w:val="20"/>
        </w:rPr>
      </w:pPr>
    </w:p>
    <w:p w14:paraId="5AA52987" w14:textId="77777777" w:rsidR="00D156CE" w:rsidRPr="00D156CE" w:rsidRDefault="00D156CE" w:rsidP="00D156CE">
      <w:pPr>
        <w:numPr>
          <w:ilvl w:val="0"/>
          <w:numId w:val="12"/>
        </w:numPr>
        <w:pBdr>
          <w:top w:val="dotted" w:sz="6" w:space="2" w:color="5B9BD5" w:themeColor="accent1"/>
        </w:pBdr>
        <w:tabs>
          <w:tab w:val="num" w:pos="1800"/>
        </w:tabs>
        <w:spacing w:before="200" w:after="200" w:line="276" w:lineRule="auto"/>
        <w:ind w:left="1800"/>
        <w:outlineLvl w:val="3"/>
        <w:rPr>
          <w:rFonts w:ascii="Tw Cen MT" w:eastAsiaTheme="majorEastAsia" w:hAnsi="Tw Cen MT" w:cstheme="majorBidi"/>
          <w:b/>
          <w:iCs/>
          <w:sz w:val="22"/>
          <w:szCs w:val="20"/>
        </w:rPr>
      </w:pPr>
      <w:r w:rsidRPr="00D156CE">
        <w:rPr>
          <w:rFonts w:ascii="Tw Cen MT" w:eastAsiaTheme="majorEastAsia" w:hAnsi="Tw Cen MT" w:cstheme="majorBidi"/>
          <w:b/>
          <w:iCs/>
          <w:sz w:val="22"/>
          <w:szCs w:val="20"/>
        </w:rPr>
        <w:t>Cross-apply Bryant 12 and prefer our framing of the round – We have no choice but to engage with the material world.</w:t>
      </w:r>
    </w:p>
    <w:p w14:paraId="79C35A6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700B6"/>
    <w:multiLevelType w:val="hybridMultilevel"/>
    <w:tmpl w:val="548CF4E2"/>
    <w:lvl w:ilvl="0" w:tplc="6BDA1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F66A30"/>
    <w:multiLevelType w:val="hybridMultilevel"/>
    <w:tmpl w:val="C1CC20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77562051">
    <w:abstractNumId w:val="9"/>
  </w:num>
  <w:num w:numId="2" w16cid:durableId="877400960">
    <w:abstractNumId w:val="7"/>
  </w:num>
  <w:num w:numId="3" w16cid:durableId="1562785132">
    <w:abstractNumId w:val="6"/>
  </w:num>
  <w:num w:numId="4" w16cid:durableId="153184428">
    <w:abstractNumId w:val="5"/>
  </w:num>
  <w:num w:numId="5" w16cid:durableId="2132895422">
    <w:abstractNumId w:val="4"/>
  </w:num>
  <w:num w:numId="6" w16cid:durableId="154499412">
    <w:abstractNumId w:val="8"/>
  </w:num>
  <w:num w:numId="7" w16cid:durableId="412287981">
    <w:abstractNumId w:val="3"/>
  </w:num>
  <w:num w:numId="8" w16cid:durableId="1265959788">
    <w:abstractNumId w:val="2"/>
  </w:num>
  <w:num w:numId="9" w16cid:durableId="1929121716">
    <w:abstractNumId w:val="1"/>
  </w:num>
  <w:num w:numId="10" w16cid:durableId="491336828">
    <w:abstractNumId w:val="0"/>
  </w:num>
  <w:num w:numId="11" w16cid:durableId="67459678">
    <w:abstractNumId w:val="11"/>
  </w:num>
  <w:num w:numId="12" w16cid:durableId="5999947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156CE"/>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156CE"/>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4CDD"/>
  <w15:chartTrackingRefBased/>
  <w15:docId w15:val="{D09943FB-8120-4DD7-A5AD-CF38BE67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156CE"/>
    <w:pPr>
      <w:spacing w:after="0" w:line="240" w:lineRule="auto"/>
    </w:pPr>
    <w:rPr>
      <w:rFonts w:ascii="Georgia" w:hAnsi="Georgia"/>
      <w:sz w:val="20"/>
    </w:rPr>
  </w:style>
  <w:style w:type="paragraph" w:styleId="Heading1">
    <w:name w:val="heading 1"/>
    <w:aliases w:val="Pocket"/>
    <w:basedOn w:val="Normal"/>
    <w:next w:val="Normal"/>
    <w:link w:val="Heading1Char"/>
    <w:qFormat/>
    <w:rsid w:val="00D156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156C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156C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156CE"/>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156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56CE"/>
  </w:style>
  <w:style w:type="character" w:customStyle="1" w:styleId="Heading1Char">
    <w:name w:val="Heading 1 Char"/>
    <w:aliases w:val="Pocket Char"/>
    <w:basedOn w:val="DefaultParagraphFont"/>
    <w:link w:val="Heading1"/>
    <w:rsid w:val="00D156C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156C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156CE"/>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D156CE"/>
    <w:rPr>
      <w:rFonts w:ascii="Georgia" w:eastAsiaTheme="majorEastAsia" w:hAnsi="Georgia" w:cstheme="majorBidi"/>
      <w:b/>
      <w:iCs/>
    </w:rPr>
  </w:style>
  <w:style w:type="character" w:styleId="Emphasis">
    <w:name w:val="Emphasis"/>
    <w:basedOn w:val="DefaultParagraphFont"/>
    <w:uiPriority w:val="7"/>
    <w:qFormat/>
    <w:rsid w:val="00D156CE"/>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D156CE"/>
    <w:rPr>
      <w:b/>
      <w:bCs/>
      <w:sz w:val="22"/>
      <w:u w:val="none"/>
    </w:rPr>
  </w:style>
  <w:style w:type="character" w:customStyle="1" w:styleId="StyleUnderline">
    <w:name w:val="Style Underline"/>
    <w:aliases w:val="Underline"/>
    <w:basedOn w:val="DefaultParagraphFont"/>
    <w:uiPriority w:val="6"/>
    <w:qFormat/>
    <w:rsid w:val="00D156CE"/>
    <w:rPr>
      <w:b w:val="0"/>
      <w:sz w:val="22"/>
      <w:u w:val="single"/>
    </w:rPr>
  </w:style>
  <w:style w:type="character" w:styleId="Hyperlink">
    <w:name w:val="Hyperlink"/>
    <w:basedOn w:val="DefaultParagraphFont"/>
    <w:uiPriority w:val="99"/>
    <w:semiHidden/>
    <w:unhideWhenUsed/>
    <w:rsid w:val="00D156CE"/>
    <w:rPr>
      <w:color w:val="auto"/>
      <w:u w:val="none"/>
    </w:rPr>
  </w:style>
  <w:style w:type="character" w:styleId="FollowedHyperlink">
    <w:name w:val="FollowedHyperlink"/>
    <w:basedOn w:val="DefaultParagraphFont"/>
    <w:uiPriority w:val="99"/>
    <w:semiHidden/>
    <w:unhideWhenUsed/>
    <w:rsid w:val="00D156CE"/>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2022-08-03T19:44:00Z</dcterms:created>
  <dcterms:modified xsi:type="dcterms:W3CDTF">2022-08-03T19:46:00Z</dcterms:modified>
</cp:coreProperties>
</file>