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DC25" w14:textId="77777777" w:rsidR="00A85909" w:rsidRDefault="00A85909" w:rsidP="00A85909">
      <w:pPr>
        <w:pStyle w:val="Heading2"/>
      </w:pPr>
      <w:r>
        <w:t>Tech Impact Turns</w:t>
      </w:r>
    </w:p>
    <w:p w14:paraId="124A4E83" w14:textId="77777777" w:rsidR="00A85909" w:rsidRDefault="00A85909" w:rsidP="00A85909">
      <w:pPr>
        <w:pStyle w:val="Heading3"/>
      </w:pPr>
      <w:r>
        <w:t>2AC – AT: China Espionage Good – Biotech Scenario</w:t>
      </w:r>
    </w:p>
    <w:p w14:paraId="47B2AD9D" w14:textId="77777777" w:rsidR="00A85909" w:rsidRPr="009931CC" w:rsidRDefault="00A85909" w:rsidP="00A85909">
      <w:pPr>
        <w:pStyle w:val="Heading4"/>
      </w:pPr>
      <w:r>
        <w:t>China’s biotech industry fails BUT isn’t driven by espionage.</w:t>
      </w:r>
    </w:p>
    <w:p w14:paraId="2CBB3874" w14:textId="77777777" w:rsidR="00A85909" w:rsidRPr="007808D9" w:rsidRDefault="00A85909" w:rsidP="00A85909">
      <w:r>
        <w:t xml:space="preserve">Chris </w:t>
      </w:r>
      <w:r w:rsidRPr="007808D9">
        <w:rPr>
          <w:rStyle w:val="Style13ptBold"/>
        </w:rPr>
        <w:t>Liu 21</w:t>
      </w:r>
      <w:r w:rsidRPr="007808D9">
        <w:t xml:space="preserve">, </w:t>
      </w:r>
      <w:r>
        <w:t xml:space="preserve">Senior Portfolio Manager at Invesco, </w:t>
      </w:r>
      <w:r w:rsidRPr="007808D9">
        <w:t xml:space="preserve">6/22/2021, "China, Explained series: What’s driving growth in China’s biotech industry?" </w:t>
      </w:r>
      <w:hyperlink r:id="rId6" w:history="1">
        <w:r w:rsidRPr="0068036C">
          <w:rPr>
            <w:rStyle w:val="Hyperlink"/>
          </w:rPr>
          <w:t>https://www.invesco.com/invest-china/en/institutional/insights/china-explained-series-whats-driving-growth-in-chinas-biotech-industry.html</w:t>
        </w:r>
      </w:hyperlink>
      <w:r>
        <w:t>, RMax</w:t>
      </w:r>
    </w:p>
    <w:p w14:paraId="25717A82" w14:textId="77777777" w:rsidR="00A85909" w:rsidRPr="00F90E74" w:rsidRDefault="00A85909" w:rsidP="00A85909">
      <w:pPr>
        <w:rPr>
          <w:sz w:val="14"/>
        </w:rPr>
      </w:pPr>
      <w:r w:rsidRPr="005E3E8C">
        <w:rPr>
          <w:rStyle w:val="StyleUnderline"/>
        </w:rPr>
        <w:t xml:space="preserve">The </w:t>
      </w:r>
      <w:r w:rsidRPr="005E3E8C">
        <w:rPr>
          <w:rStyle w:val="Emphasis"/>
        </w:rPr>
        <w:t>biotech industry</w:t>
      </w:r>
      <w:r w:rsidRPr="005E3E8C">
        <w:rPr>
          <w:rStyle w:val="StyleUnderline"/>
        </w:rPr>
        <w:t xml:space="preserve"> in China is relatively </w:t>
      </w:r>
      <w:r w:rsidRPr="005E3E8C">
        <w:rPr>
          <w:rStyle w:val="Emphasis"/>
        </w:rPr>
        <w:t>nascent</w:t>
      </w:r>
      <w:r w:rsidRPr="00F90E74">
        <w:rPr>
          <w:sz w:val="14"/>
        </w:rPr>
        <w:t>. Even though the country’s healthcare market is the second largest globally</w:t>
      </w:r>
      <w:hyperlink r:id="rId7" w:anchor="src1" w:history="1">
        <w:r w:rsidRPr="00F90E74">
          <w:rPr>
            <w:rStyle w:val="Hyperlink"/>
            <w:sz w:val="14"/>
          </w:rPr>
          <w:t>1</w:t>
        </w:r>
      </w:hyperlink>
      <w:r w:rsidRPr="00F90E74">
        <w:rPr>
          <w:sz w:val="14"/>
        </w:rPr>
        <w:t xml:space="preserve">, </w:t>
      </w:r>
      <w:r w:rsidRPr="005E3E8C">
        <w:rPr>
          <w:rStyle w:val="StyleUnderline"/>
        </w:rPr>
        <w:t xml:space="preserve">biotech-driven treatments account for only </w:t>
      </w:r>
      <w:r w:rsidRPr="005E3E8C">
        <w:rPr>
          <w:rStyle w:val="Emphasis"/>
        </w:rPr>
        <w:t>12%</w:t>
      </w:r>
      <w:r w:rsidRPr="005E3E8C">
        <w:rPr>
          <w:rStyle w:val="StyleUnderline"/>
        </w:rPr>
        <w:t xml:space="preserve"> of the China’s </w:t>
      </w:r>
      <w:r w:rsidRPr="005E3E8C">
        <w:rPr>
          <w:rStyle w:val="Emphasis"/>
        </w:rPr>
        <w:t>total drug market</w:t>
      </w:r>
      <w:r w:rsidRPr="00F90E74">
        <w:rPr>
          <w:sz w:val="14"/>
        </w:rPr>
        <w:t>.</w:t>
      </w:r>
      <w:hyperlink r:id="rId8" w:anchor="src1" w:history="1">
        <w:r w:rsidRPr="00F90E74">
          <w:rPr>
            <w:rStyle w:val="Hyperlink"/>
            <w:sz w:val="14"/>
          </w:rPr>
          <w:t>2</w:t>
        </w:r>
      </w:hyperlink>
      <w:r w:rsidRPr="00F90E74">
        <w:rPr>
          <w:sz w:val="14"/>
        </w:rPr>
        <w:t> </w:t>
      </w:r>
      <w:r w:rsidRPr="005E3E8C">
        <w:rPr>
          <w:rStyle w:val="StyleUnderline"/>
        </w:rPr>
        <w:t>Companies</w:t>
      </w:r>
      <w:r w:rsidRPr="00F90E74">
        <w:rPr>
          <w:sz w:val="14"/>
        </w:rPr>
        <w:t xml:space="preserve"> in this space </w:t>
      </w:r>
      <w:r w:rsidRPr="005E3E8C">
        <w:rPr>
          <w:rStyle w:val="StyleUnderline"/>
        </w:rPr>
        <w:t xml:space="preserve">are also far behind their global counterparts both in terms of </w:t>
      </w:r>
      <w:r w:rsidRPr="005E3E8C">
        <w:rPr>
          <w:rStyle w:val="Emphasis"/>
        </w:rPr>
        <w:t>revenue</w:t>
      </w:r>
      <w:r w:rsidRPr="005E3E8C">
        <w:rPr>
          <w:rStyle w:val="StyleUnderline"/>
        </w:rPr>
        <w:t xml:space="preserve"> </w:t>
      </w:r>
      <w:r w:rsidRPr="005E3E8C">
        <w:rPr>
          <w:rStyle w:val="Emphasis"/>
        </w:rPr>
        <w:t>and R&amp;D investments</w:t>
      </w:r>
      <w:r w:rsidRPr="00F90E74">
        <w:rPr>
          <w:sz w:val="14"/>
        </w:rPr>
        <w:t xml:space="preserve">. In 2019 for example, </w:t>
      </w:r>
      <w:r w:rsidRPr="009931CC">
        <w:rPr>
          <w:rStyle w:val="StyleUnderline"/>
        </w:rPr>
        <w:t>sales of the top ten biotech drugs</w:t>
      </w:r>
      <w:r w:rsidRPr="00F90E74">
        <w:rPr>
          <w:sz w:val="14"/>
        </w:rPr>
        <w:t xml:space="preserve"> (biologics) </w:t>
      </w:r>
      <w:r w:rsidRPr="009931CC">
        <w:rPr>
          <w:rStyle w:val="Emphasis"/>
        </w:rPr>
        <w:t>globally</w:t>
      </w:r>
      <w:r w:rsidRPr="009931CC">
        <w:rPr>
          <w:rStyle w:val="StyleUnderline"/>
        </w:rPr>
        <w:t xml:space="preserve"> were in the range of USD </w:t>
      </w:r>
      <w:r w:rsidRPr="009931CC">
        <w:rPr>
          <w:rStyle w:val="Emphasis"/>
        </w:rPr>
        <w:t>6</w:t>
      </w:r>
      <w:r w:rsidRPr="009931CC">
        <w:rPr>
          <w:rStyle w:val="StyleUnderline"/>
        </w:rPr>
        <w:t xml:space="preserve"> to </w:t>
      </w:r>
      <w:r w:rsidRPr="009931CC">
        <w:rPr>
          <w:rStyle w:val="Emphasis"/>
        </w:rPr>
        <w:t>20</w:t>
      </w:r>
      <w:r w:rsidRPr="009931CC">
        <w:rPr>
          <w:rStyle w:val="StyleUnderline"/>
        </w:rPr>
        <w:t xml:space="preserve"> billion while </w:t>
      </w:r>
      <w:r w:rsidRPr="009931CC">
        <w:rPr>
          <w:rStyle w:val="Emphasis"/>
        </w:rPr>
        <w:t>Chinese</w:t>
      </w:r>
      <w:r w:rsidRPr="009931CC">
        <w:rPr>
          <w:rStyle w:val="StyleUnderline"/>
        </w:rPr>
        <w:t xml:space="preserve"> biologic sales were in the range of RMB </w:t>
      </w:r>
      <w:r w:rsidRPr="009931CC">
        <w:rPr>
          <w:rStyle w:val="Emphasis"/>
        </w:rPr>
        <w:t>3</w:t>
      </w:r>
      <w:r w:rsidRPr="009931CC">
        <w:rPr>
          <w:rStyle w:val="StyleUnderline"/>
        </w:rPr>
        <w:t xml:space="preserve"> to </w:t>
      </w:r>
      <w:r w:rsidRPr="009931CC">
        <w:rPr>
          <w:rStyle w:val="Emphasis"/>
        </w:rPr>
        <w:t>5</w:t>
      </w:r>
      <w:r w:rsidRPr="009931CC">
        <w:rPr>
          <w:rStyle w:val="StyleUnderline"/>
        </w:rPr>
        <w:t xml:space="preserve"> billion</w:t>
      </w:r>
      <w:r w:rsidRPr="00F90E74">
        <w:rPr>
          <w:sz w:val="14"/>
        </w:rPr>
        <w:t xml:space="preserve"> (see Chart 1 and 2).  </w:t>
      </w:r>
    </w:p>
    <w:p w14:paraId="0D7581D4" w14:textId="77777777" w:rsidR="00A85909" w:rsidRPr="00F90E74" w:rsidRDefault="00A85909" w:rsidP="00A85909">
      <w:pPr>
        <w:rPr>
          <w:sz w:val="14"/>
        </w:rPr>
      </w:pPr>
      <w:r w:rsidRPr="00F90E74">
        <w:rPr>
          <w:noProof/>
          <w:sz w:val="14"/>
        </w:rPr>
        <w:drawing>
          <wp:inline distT="0" distB="0" distL="0" distR="0" wp14:anchorId="325180A8" wp14:editId="7BC184C5">
            <wp:extent cx="3976975" cy="1895657"/>
            <wp:effectExtent l="0" t="0" r="508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727" cy="1906978"/>
                    </a:xfrm>
                    <a:prstGeom prst="rect">
                      <a:avLst/>
                    </a:prstGeom>
                    <a:noFill/>
                    <a:ln>
                      <a:noFill/>
                    </a:ln>
                  </pic:spPr>
                </pic:pic>
              </a:graphicData>
            </a:graphic>
          </wp:inline>
        </w:drawing>
      </w:r>
    </w:p>
    <w:p w14:paraId="7002691F" w14:textId="77777777" w:rsidR="00A85909" w:rsidRPr="00F90E74" w:rsidRDefault="00A85909" w:rsidP="00A85909">
      <w:pPr>
        <w:rPr>
          <w:sz w:val="14"/>
        </w:rPr>
      </w:pPr>
      <w:r w:rsidRPr="00F90E74">
        <w:rPr>
          <w:sz w:val="14"/>
        </w:rPr>
        <w:t>Source: Frost &amp; Sullivan, Morgan Stanley Research</w:t>
      </w:r>
    </w:p>
    <w:p w14:paraId="2787B290" w14:textId="77777777" w:rsidR="00A85909" w:rsidRPr="00F90E74" w:rsidRDefault="00A85909" w:rsidP="00A85909">
      <w:pPr>
        <w:rPr>
          <w:sz w:val="14"/>
        </w:rPr>
      </w:pPr>
      <w:r w:rsidRPr="00F90E74">
        <w:rPr>
          <w:sz w:val="14"/>
        </w:rPr>
        <w:t xml:space="preserve">Yet research firms expect that the mainland </w:t>
      </w:r>
      <w:r w:rsidRPr="00391F2F">
        <w:rPr>
          <w:rStyle w:val="StyleUnderline"/>
        </w:rPr>
        <w:t xml:space="preserve">biotech market will be worth </w:t>
      </w:r>
      <w:r w:rsidRPr="00F90E74">
        <w:rPr>
          <w:sz w:val="14"/>
        </w:rPr>
        <w:t>US</w:t>
      </w:r>
      <w:r w:rsidRPr="00391F2F">
        <w:rPr>
          <w:rStyle w:val="StyleUnderline"/>
        </w:rPr>
        <w:t>$96 billion by 2023</w:t>
      </w:r>
      <w:r w:rsidRPr="00F90E74">
        <w:rPr>
          <w:sz w:val="14"/>
        </w:rPr>
        <w:t xml:space="preserve"> (from US$40 billion in 2018).3 This is in part </w:t>
      </w:r>
      <w:r w:rsidRPr="00391F2F">
        <w:rPr>
          <w:rStyle w:val="StyleUnderline"/>
        </w:rPr>
        <w:t xml:space="preserve">due to the country’s </w:t>
      </w:r>
      <w:r w:rsidRPr="00391F2F">
        <w:rPr>
          <w:rStyle w:val="Emphasis"/>
        </w:rPr>
        <w:t>rapidly ageing population</w:t>
      </w:r>
      <w:r w:rsidRPr="00391F2F">
        <w:rPr>
          <w:rStyle w:val="StyleUnderline"/>
        </w:rPr>
        <w:t xml:space="preserve"> and </w:t>
      </w:r>
      <w:r w:rsidRPr="00391F2F">
        <w:rPr>
          <w:rStyle w:val="Emphasis"/>
        </w:rPr>
        <w:t>affluent middle class</w:t>
      </w:r>
      <w:r w:rsidRPr="00F90E74">
        <w:rPr>
          <w:sz w:val="14"/>
        </w:rPr>
        <w:t xml:space="preserve"> that is willing to spend on quality healthcare products and services as outlined in this earlier piece. Chris Liu, Senior Portfolio Manager within Invesco’s China </w:t>
      </w:r>
      <w:proofErr w:type="gramStart"/>
      <w:r w:rsidRPr="00F90E74">
        <w:rPr>
          <w:sz w:val="14"/>
        </w:rPr>
        <w:t>A</w:t>
      </w:r>
      <w:proofErr w:type="gramEnd"/>
      <w:r w:rsidRPr="00F90E74">
        <w:rPr>
          <w:sz w:val="14"/>
        </w:rPr>
        <w:t xml:space="preserve"> Investments team summarizes some other factors driving the growth of this market.</w:t>
      </w:r>
    </w:p>
    <w:p w14:paraId="1BDA1229" w14:textId="77777777" w:rsidR="00A85909" w:rsidRPr="00F90E74" w:rsidRDefault="00A85909" w:rsidP="00A85909">
      <w:pPr>
        <w:rPr>
          <w:sz w:val="14"/>
        </w:rPr>
      </w:pPr>
      <w:r w:rsidRPr="00F90E74">
        <w:rPr>
          <w:sz w:val="14"/>
        </w:rPr>
        <w:t>History and case for biotech</w:t>
      </w:r>
    </w:p>
    <w:p w14:paraId="17F76C30" w14:textId="77777777" w:rsidR="00A85909" w:rsidRPr="00F90E74" w:rsidRDefault="00A85909" w:rsidP="00A85909">
      <w:pPr>
        <w:rPr>
          <w:sz w:val="14"/>
        </w:rPr>
      </w:pPr>
      <w:r w:rsidRPr="00F90E74">
        <w:rPr>
          <w:sz w:val="14"/>
        </w:rPr>
        <w:t>As recently as five years ago, most new drugs in China whether chemical or biopharmaceutical, came from overseas. Chinese drug makers were instead focused on producing generic drugs (once the global patents on these medicines expired. In 2016, for example, generic drugs had a market share of 95%.4 However, in the past five to ten years, Chinese companies have been moving up the value chain (see Chart 3). Before 2010, the top 20 China healthcare companies were mostly generic drug makers, while from 2010-2020, we saw more biological drug companies emerging in the top 20.</w:t>
      </w:r>
    </w:p>
    <w:p w14:paraId="09FE373F" w14:textId="77777777" w:rsidR="00A85909" w:rsidRPr="00F90E74" w:rsidRDefault="00A85909" w:rsidP="00A85909">
      <w:pPr>
        <w:rPr>
          <w:sz w:val="14"/>
        </w:rPr>
      </w:pPr>
      <w:r w:rsidRPr="00F90E74">
        <w:rPr>
          <w:noProof/>
          <w:sz w:val="14"/>
        </w:rPr>
        <w:drawing>
          <wp:inline distT="0" distB="0" distL="0" distR="0" wp14:anchorId="4A0F6E4E" wp14:editId="4D07802D">
            <wp:extent cx="5921375" cy="2822470"/>
            <wp:effectExtent l="0" t="0" r="317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5921" cy="2834170"/>
                    </a:xfrm>
                    <a:prstGeom prst="rect">
                      <a:avLst/>
                    </a:prstGeom>
                    <a:noFill/>
                    <a:ln>
                      <a:noFill/>
                    </a:ln>
                  </pic:spPr>
                </pic:pic>
              </a:graphicData>
            </a:graphic>
          </wp:inline>
        </w:drawing>
      </w:r>
    </w:p>
    <w:p w14:paraId="789A1C23" w14:textId="77777777" w:rsidR="00A85909" w:rsidRPr="00F90E74" w:rsidRDefault="00A85909" w:rsidP="00A85909">
      <w:pPr>
        <w:rPr>
          <w:sz w:val="14"/>
        </w:rPr>
      </w:pPr>
      <w:r w:rsidRPr="00F90E74">
        <w:rPr>
          <w:sz w:val="14"/>
        </w:rPr>
        <w:t>Source: Wind, as of June 2020</w:t>
      </w:r>
    </w:p>
    <w:p w14:paraId="4B366A05" w14:textId="77777777" w:rsidR="00A85909" w:rsidRPr="00F90E74" w:rsidRDefault="00A85909" w:rsidP="00A85909">
      <w:pPr>
        <w:rPr>
          <w:sz w:val="14"/>
        </w:rPr>
      </w:pPr>
      <w:r w:rsidRPr="00F90E74">
        <w:rPr>
          <w:sz w:val="14"/>
        </w:rPr>
        <w:t xml:space="preserve">Biotech drugs are now favorable as compared to chemical drugs as they have fewer side effects. In 2019 for example, seven out of the top ten bestselling global drugs were biologics (see Chart 1). These drugs are typically used to treat cancer cells and tumors.  </w:t>
      </w:r>
    </w:p>
    <w:p w14:paraId="018E0CAD" w14:textId="77777777" w:rsidR="00A85909" w:rsidRPr="00391F2F" w:rsidRDefault="00A85909" w:rsidP="00A85909">
      <w:pPr>
        <w:rPr>
          <w:rStyle w:val="Emphasis"/>
        </w:rPr>
      </w:pPr>
      <w:r w:rsidRPr="00391F2F">
        <w:rPr>
          <w:rStyle w:val="Emphasis"/>
        </w:rPr>
        <w:t>Drivers for the interest in biotech:</w:t>
      </w:r>
    </w:p>
    <w:p w14:paraId="4188E792" w14:textId="77777777" w:rsidR="00A85909" w:rsidRPr="00391F2F" w:rsidRDefault="00A85909" w:rsidP="00A85909">
      <w:pPr>
        <w:rPr>
          <w:rStyle w:val="StyleUnderline"/>
        </w:rPr>
      </w:pPr>
      <w:r w:rsidRPr="00391F2F">
        <w:rPr>
          <w:rStyle w:val="StyleUnderline"/>
        </w:rPr>
        <w:t xml:space="preserve">1. </w:t>
      </w:r>
      <w:r w:rsidRPr="00391F2F">
        <w:rPr>
          <w:rStyle w:val="Emphasis"/>
        </w:rPr>
        <w:t>Reduction</w:t>
      </w:r>
      <w:r w:rsidRPr="00391F2F">
        <w:rPr>
          <w:rStyle w:val="StyleUnderline"/>
        </w:rPr>
        <w:t xml:space="preserve"> in the </w:t>
      </w:r>
      <w:r w:rsidRPr="00391F2F">
        <w:rPr>
          <w:rStyle w:val="Emphasis"/>
        </w:rPr>
        <w:t>prices</w:t>
      </w:r>
      <w:r w:rsidRPr="00391F2F">
        <w:rPr>
          <w:rStyle w:val="StyleUnderline"/>
        </w:rPr>
        <w:t xml:space="preserve"> of generic drugs</w:t>
      </w:r>
    </w:p>
    <w:p w14:paraId="3C2891A6" w14:textId="77777777" w:rsidR="00A85909" w:rsidRPr="00391F2F" w:rsidRDefault="00A85909" w:rsidP="00A85909">
      <w:pPr>
        <w:rPr>
          <w:rStyle w:val="StyleUnderline"/>
        </w:rPr>
      </w:pPr>
      <w:r w:rsidRPr="00F90E74">
        <w:rPr>
          <w:sz w:val="14"/>
        </w:rPr>
        <w:t xml:space="preserve">Since 2018, </w:t>
      </w:r>
      <w:r w:rsidRPr="00391F2F">
        <w:rPr>
          <w:rStyle w:val="StyleUnderline"/>
        </w:rPr>
        <w:t>there have been five rounds of</w:t>
      </w:r>
      <w:r w:rsidRPr="00F90E74">
        <w:rPr>
          <w:sz w:val="14"/>
        </w:rPr>
        <w:t xml:space="preserve"> National Reimbursement Drug List (NRDL) </w:t>
      </w:r>
      <w:r w:rsidRPr="00391F2F">
        <w:rPr>
          <w:rStyle w:val="StyleUnderline"/>
        </w:rPr>
        <w:t>price negotiations for new drugs</w:t>
      </w:r>
      <w:r w:rsidRPr="00F90E74">
        <w:rPr>
          <w:sz w:val="14"/>
        </w:rPr>
        <w:t xml:space="preserve"> (see Table 1). </w:t>
      </w:r>
      <w:r w:rsidRPr="00391F2F">
        <w:rPr>
          <w:rStyle w:val="StyleUnderline"/>
        </w:rPr>
        <w:t>This has been aimed at reducing the price burden for patients looking to get their expenses reimbursed under the national basic medical insurance scheme.</w:t>
      </w:r>
    </w:p>
    <w:p w14:paraId="7B6868CA" w14:textId="77777777" w:rsidR="00A85909" w:rsidRPr="00F90E74" w:rsidRDefault="00A85909" w:rsidP="00A85909">
      <w:pPr>
        <w:rPr>
          <w:sz w:val="14"/>
        </w:rPr>
      </w:pPr>
      <w:r w:rsidRPr="00F90E74">
        <w:rPr>
          <w:noProof/>
          <w:sz w:val="14"/>
        </w:rPr>
        <w:drawing>
          <wp:inline distT="0" distB="0" distL="0" distR="0" wp14:anchorId="33CD1005" wp14:editId="5CEC6934">
            <wp:extent cx="5318760" cy="2991877"/>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3048" cy="2999914"/>
                    </a:xfrm>
                    <a:prstGeom prst="rect">
                      <a:avLst/>
                    </a:prstGeom>
                    <a:noFill/>
                    <a:ln>
                      <a:noFill/>
                    </a:ln>
                  </pic:spPr>
                </pic:pic>
              </a:graphicData>
            </a:graphic>
          </wp:inline>
        </w:drawing>
      </w:r>
    </w:p>
    <w:p w14:paraId="6F890544" w14:textId="77777777" w:rsidR="00A85909" w:rsidRPr="00F90E74" w:rsidRDefault="00A85909" w:rsidP="00A85909">
      <w:pPr>
        <w:rPr>
          <w:sz w:val="14"/>
        </w:rPr>
      </w:pPr>
      <w:r w:rsidRPr="00F90E74">
        <w:rPr>
          <w:sz w:val="14"/>
        </w:rPr>
        <w:t>Source: NHSA, Credit Suisse</w:t>
      </w:r>
    </w:p>
    <w:p w14:paraId="769BF384" w14:textId="77777777" w:rsidR="00A85909" w:rsidRPr="00F90E74" w:rsidRDefault="00A85909" w:rsidP="00A85909">
      <w:pPr>
        <w:rPr>
          <w:sz w:val="14"/>
        </w:rPr>
      </w:pPr>
      <w:r w:rsidRPr="00F90E74">
        <w:rPr>
          <w:sz w:val="14"/>
        </w:rPr>
        <w:t xml:space="preserve">Consequently, generic </w:t>
      </w:r>
      <w:r w:rsidRPr="00391F2F">
        <w:rPr>
          <w:rStyle w:val="StyleUnderline"/>
        </w:rPr>
        <w:t>drug makers in the country have been pushed to innovate to make up for this margin correction</w:t>
      </w:r>
      <w:r w:rsidRPr="00F90E74">
        <w:rPr>
          <w:sz w:val="14"/>
        </w:rPr>
        <w:t xml:space="preserve">. Large Chinese </w:t>
      </w:r>
      <w:r w:rsidRPr="00391F2F">
        <w:rPr>
          <w:rStyle w:val="StyleUnderline"/>
        </w:rPr>
        <w:t>pharma companies are</w:t>
      </w:r>
      <w:r w:rsidRPr="00F90E74">
        <w:rPr>
          <w:sz w:val="14"/>
        </w:rPr>
        <w:t xml:space="preserve"> now </w:t>
      </w:r>
      <w:r w:rsidRPr="00391F2F">
        <w:rPr>
          <w:rStyle w:val="StyleUnderline"/>
        </w:rPr>
        <w:t>spending more on R&amp;D and specifically are looking to innovative areas such as oncology drugs</w:t>
      </w:r>
      <w:r w:rsidRPr="00F90E74">
        <w:rPr>
          <w:sz w:val="14"/>
        </w:rPr>
        <w:t xml:space="preserve">. At the same time biotech companies in China are also emerging with a shorter history and more concentrated product pipeline. </w:t>
      </w:r>
    </w:p>
    <w:p w14:paraId="57DA0BDC" w14:textId="77777777" w:rsidR="00A85909" w:rsidRPr="001C74B8" w:rsidRDefault="00A85909" w:rsidP="00A85909">
      <w:pPr>
        <w:rPr>
          <w:rStyle w:val="StyleUnderline"/>
        </w:rPr>
      </w:pPr>
      <w:r w:rsidRPr="001C74B8">
        <w:rPr>
          <w:rStyle w:val="StyleUnderline"/>
        </w:rPr>
        <w:t xml:space="preserve">2. </w:t>
      </w:r>
      <w:r w:rsidRPr="001C74B8">
        <w:rPr>
          <w:rStyle w:val="Emphasis"/>
        </w:rPr>
        <w:t>Enhancement</w:t>
      </w:r>
      <w:r w:rsidRPr="001C74B8">
        <w:rPr>
          <w:rStyle w:val="StyleUnderline"/>
        </w:rPr>
        <w:t xml:space="preserve"> and </w:t>
      </w:r>
      <w:r w:rsidRPr="001C74B8">
        <w:rPr>
          <w:rStyle w:val="Emphasis"/>
        </w:rPr>
        <w:t>streamlining</w:t>
      </w:r>
      <w:r w:rsidRPr="001C74B8">
        <w:rPr>
          <w:rStyle w:val="StyleUnderline"/>
        </w:rPr>
        <w:t xml:space="preserve"> of </w:t>
      </w:r>
      <w:r w:rsidRPr="001C74B8">
        <w:rPr>
          <w:rStyle w:val="Emphasis"/>
        </w:rPr>
        <w:t>regulatory standards</w:t>
      </w:r>
    </w:p>
    <w:p w14:paraId="6305C8F7" w14:textId="77777777" w:rsidR="00A85909" w:rsidRPr="00F90E74" w:rsidRDefault="00A85909" w:rsidP="00A85909">
      <w:pPr>
        <w:rPr>
          <w:sz w:val="14"/>
        </w:rPr>
      </w:pPr>
      <w:r w:rsidRPr="00F90E74">
        <w:rPr>
          <w:sz w:val="14"/>
        </w:rPr>
        <w:t xml:space="preserve">The </w:t>
      </w:r>
      <w:r w:rsidRPr="001C74B8">
        <w:rPr>
          <w:rStyle w:val="StyleUnderline"/>
        </w:rPr>
        <w:t>National Healthcare Security Administration</w:t>
      </w:r>
      <w:r w:rsidRPr="00F90E74">
        <w:rPr>
          <w:sz w:val="14"/>
        </w:rPr>
        <w:t xml:space="preserve"> (NHSA) was set up in 2018, responsible for managing all basic health insurance schemes in the country. This </w:t>
      </w:r>
      <w:r w:rsidRPr="001C74B8">
        <w:rPr>
          <w:rStyle w:val="StyleUnderline"/>
        </w:rPr>
        <w:t xml:space="preserve">represented a milestone in China’s health sector reform to </w:t>
      </w:r>
      <w:r w:rsidRPr="001C74B8">
        <w:rPr>
          <w:rStyle w:val="Emphasis"/>
        </w:rPr>
        <w:t>further improve</w:t>
      </w:r>
      <w:r w:rsidRPr="001C74B8">
        <w:rPr>
          <w:rStyle w:val="StyleUnderline"/>
        </w:rPr>
        <w:t xml:space="preserve"> the </w:t>
      </w:r>
      <w:r w:rsidRPr="001C74B8">
        <w:rPr>
          <w:rStyle w:val="Emphasis"/>
        </w:rPr>
        <w:t>efficiency</w:t>
      </w:r>
      <w:r w:rsidRPr="001C74B8">
        <w:rPr>
          <w:rStyle w:val="StyleUnderline"/>
        </w:rPr>
        <w:t xml:space="preserve"> of the healthcare system in areas such as </w:t>
      </w:r>
      <w:r w:rsidRPr="001C74B8">
        <w:rPr>
          <w:rStyle w:val="Emphasis"/>
        </w:rPr>
        <w:t>cost controls</w:t>
      </w:r>
      <w:r w:rsidRPr="001C74B8">
        <w:rPr>
          <w:rStyle w:val="StyleUnderline"/>
        </w:rPr>
        <w:t xml:space="preserve">, </w:t>
      </w:r>
      <w:r w:rsidRPr="001C74B8">
        <w:rPr>
          <w:rStyle w:val="Emphasis"/>
        </w:rPr>
        <w:t>service quality</w:t>
      </w:r>
      <w:r w:rsidRPr="001C74B8">
        <w:rPr>
          <w:rStyle w:val="StyleUnderline"/>
        </w:rPr>
        <w:t xml:space="preserve"> and </w:t>
      </w:r>
      <w:r w:rsidRPr="001C74B8">
        <w:rPr>
          <w:rStyle w:val="Emphasis"/>
        </w:rPr>
        <w:t>value</w:t>
      </w:r>
      <w:r w:rsidRPr="001C74B8">
        <w:rPr>
          <w:rStyle w:val="StyleUnderline"/>
        </w:rPr>
        <w:t xml:space="preserve"> for </w:t>
      </w:r>
      <w:r w:rsidRPr="001C74B8">
        <w:rPr>
          <w:rStyle w:val="Emphasis"/>
        </w:rPr>
        <w:t>money</w:t>
      </w:r>
      <w:r w:rsidRPr="001C74B8">
        <w:rPr>
          <w:rStyle w:val="StyleUnderline"/>
        </w:rPr>
        <w:t>.</w:t>
      </w:r>
      <w:r w:rsidRPr="00F90E74">
        <w:rPr>
          <w:sz w:val="14"/>
        </w:rPr>
        <w:t>5 Since their launch, the NHSA has added more non-generic drugs to the list of those that qualify for patient reimbursement.6  Specifically, anticancer “PD-1” drugs have been included into drug list which are a key focus area for biotech players.7</w:t>
      </w:r>
    </w:p>
    <w:p w14:paraId="6FFBA7F5" w14:textId="77777777" w:rsidR="00A85909" w:rsidRPr="00F90E74" w:rsidRDefault="00A85909" w:rsidP="00A85909">
      <w:pPr>
        <w:rPr>
          <w:sz w:val="14"/>
        </w:rPr>
      </w:pPr>
      <w:r w:rsidRPr="00F90E74">
        <w:rPr>
          <w:sz w:val="14"/>
        </w:rPr>
        <w:t>The National Medical Products Administration (NMPA), a bureau set up for approval process of new drugs, was also rebranded in 2018 and has since been employing a clearer and more efficient drug-approval system based on global standards (while it took much longer to get new drugs approved with the previous system8). This transformation is also expected to shift the healthcare industry’s focus from generic to innovative drug development.9</w:t>
      </w:r>
    </w:p>
    <w:p w14:paraId="2467685A" w14:textId="77777777" w:rsidR="00A85909" w:rsidRPr="001C74B8" w:rsidRDefault="00A85909" w:rsidP="00A85909">
      <w:pPr>
        <w:rPr>
          <w:rStyle w:val="StyleUnderline"/>
        </w:rPr>
      </w:pPr>
      <w:r w:rsidRPr="001C74B8">
        <w:rPr>
          <w:rStyle w:val="StyleUnderline"/>
        </w:rPr>
        <w:t xml:space="preserve">3. </w:t>
      </w:r>
      <w:r w:rsidRPr="001C74B8">
        <w:rPr>
          <w:rStyle w:val="Emphasis"/>
        </w:rPr>
        <w:t>Access to capital</w:t>
      </w:r>
    </w:p>
    <w:p w14:paraId="2E1B1266" w14:textId="77777777" w:rsidR="00A85909" w:rsidRPr="00F90E74" w:rsidRDefault="00A85909" w:rsidP="00A85909">
      <w:pPr>
        <w:rPr>
          <w:sz w:val="14"/>
        </w:rPr>
      </w:pPr>
      <w:r w:rsidRPr="00F90E74">
        <w:rPr>
          <w:sz w:val="14"/>
        </w:rPr>
        <w:t xml:space="preserve">As of mid-2018, </w:t>
      </w:r>
      <w:r w:rsidRPr="00F90E74">
        <w:rPr>
          <w:rStyle w:val="StyleUnderline"/>
        </w:rPr>
        <w:t>Hong Kong’s stock exchange amended its listing rules to allow for qualified biotech companies to list on the exchange without earnings. This was a significant step in providing Chinese biotech firms with more access to capital to fuel R&amp;D</w:t>
      </w:r>
      <w:r w:rsidRPr="00F90E74">
        <w:rPr>
          <w:sz w:val="14"/>
        </w:rPr>
        <w:t>. Later in 2019, the Shanghai Stock Exchange officially launched the STAR Market (the Science and Technology Innovation Board), with a focus on supporting high and new technology industries and strategic emerging industries.10 As part of this, the China Securities Regulatory Commission has been able to fast-track approval for the listing of high-tech unicorns including biotechs.11 Apart from public channels, private equity and venture capital investment in this space is also growing rapidly.12</w:t>
      </w:r>
    </w:p>
    <w:p w14:paraId="5F9D9464" w14:textId="77777777" w:rsidR="00A85909" w:rsidRPr="001C74B8" w:rsidRDefault="00A85909" w:rsidP="00A85909">
      <w:pPr>
        <w:rPr>
          <w:rStyle w:val="StyleUnderline"/>
        </w:rPr>
      </w:pPr>
      <w:r w:rsidRPr="001C74B8">
        <w:rPr>
          <w:rStyle w:val="StyleUnderline"/>
        </w:rPr>
        <w:t xml:space="preserve">4. </w:t>
      </w:r>
      <w:r w:rsidRPr="001C74B8">
        <w:rPr>
          <w:rStyle w:val="Emphasis"/>
        </w:rPr>
        <w:t>Prospect</w:t>
      </w:r>
      <w:r w:rsidRPr="001C74B8">
        <w:rPr>
          <w:rStyle w:val="StyleUnderline"/>
        </w:rPr>
        <w:t xml:space="preserve"> of </w:t>
      </w:r>
      <w:r w:rsidRPr="001C74B8">
        <w:rPr>
          <w:rStyle w:val="Emphasis"/>
        </w:rPr>
        <w:t>global market demand</w:t>
      </w:r>
      <w:r w:rsidRPr="001C74B8">
        <w:rPr>
          <w:rStyle w:val="StyleUnderline"/>
        </w:rPr>
        <w:t xml:space="preserve"> </w:t>
      </w:r>
    </w:p>
    <w:p w14:paraId="3B52A927" w14:textId="77777777" w:rsidR="00A85909" w:rsidRPr="00F90E74" w:rsidRDefault="00A85909" w:rsidP="00A85909">
      <w:pPr>
        <w:rPr>
          <w:sz w:val="14"/>
        </w:rPr>
      </w:pPr>
      <w:r w:rsidRPr="00F90E74">
        <w:rPr>
          <w:rStyle w:val="StyleUnderline"/>
        </w:rPr>
        <w:t>Onshore biotech firms</w:t>
      </w:r>
      <w:r w:rsidRPr="00F90E74">
        <w:rPr>
          <w:sz w:val="14"/>
        </w:rPr>
        <w:t xml:space="preserve"> are currently competing heavily with foreign players to capture domestic market share. However, many </w:t>
      </w:r>
      <w:r w:rsidRPr="00F90E74">
        <w:rPr>
          <w:rStyle w:val="StyleUnderline"/>
        </w:rPr>
        <w:t>are</w:t>
      </w:r>
      <w:r w:rsidRPr="00F90E74">
        <w:rPr>
          <w:sz w:val="14"/>
        </w:rPr>
        <w:t xml:space="preserve"> also </w:t>
      </w:r>
      <w:r w:rsidRPr="00F90E74">
        <w:rPr>
          <w:rStyle w:val="StyleUnderline"/>
        </w:rPr>
        <w:t>setting their sights farther afield and are looking to tap into the vast global market in the long run.</w:t>
      </w:r>
      <w:r w:rsidRPr="00F90E74">
        <w:rPr>
          <w:sz w:val="14"/>
        </w:rPr>
        <w:t xml:space="preserve"> In 2019 for example, a domestic biotech company’s lymphoma treatment was approved by the US FDA - the first China-discovered innovative cancer drug to win such approval.13 Earlier this year the same company signed a $2.2-billion deal with a global pharmaceutical giant to license their PD-1 drug in major markets outside of the country.14 A few other biotech companies have also had licensing deals with global MNCs to obtain FDA approval for their new biological drugs to be sold in the US and other countries. </w:t>
      </w:r>
    </w:p>
    <w:p w14:paraId="6D301B6D" w14:textId="77777777" w:rsidR="00A85909" w:rsidRPr="00D00F06" w:rsidRDefault="00A85909" w:rsidP="00A85909"/>
    <w:p w14:paraId="699911C4" w14:textId="77777777" w:rsidR="00A85909" w:rsidRDefault="00A85909" w:rsidP="00A85909">
      <w:pPr>
        <w:pStyle w:val="Heading3"/>
      </w:pPr>
      <w:r>
        <w:t>2AC – AT: Conventional Substitution Turn</w:t>
      </w:r>
    </w:p>
    <w:p w14:paraId="304B7F12" w14:textId="77777777" w:rsidR="00A85909" w:rsidRDefault="00A85909" w:rsidP="00A85909">
      <w:pPr>
        <w:pStyle w:val="Heading4"/>
      </w:pPr>
      <w:r>
        <w:t>They’re complementary – Ukraine proves.</w:t>
      </w:r>
    </w:p>
    <w:p w14:paraId="5B569A79" w14:textId="77777777" w:rsidR="00A85909" w:rsidRPr="002D0443" w:rsidRDefault="00A85909" w:rsidP="00A85909">
      <w:r w:rsidRPr="00294076">
        <w:rPr>
          <w:rStyle w:val="Style13ptBold"/>
        </w:rPr>
        <w:t>DSU 22</w:t>
      </w:r>
      <w:r>
        <w:t xml:space="preserve"> – Microsoft’s Digital Security Unit, 4/27/2022</w:t>
      </w:r>
      <w:r w:rsidRPr="00294076">
        <w:t>, "</w:t>
      </w:r>
      <w:r>
        <w:t>Special Report: Ukraine</w:t>
      </w:r>
      <w:r w:rsidRPr="00294076">
        <w:t>," https://query.prod.cms.rt.microsoft.com/cms/api/am/binary/RE4Vwwd, RMax</w:t>
      </w:r>
    </w:p>
    <w:p w14:paraId="2470F1FE" w14:textId="77777777" w:rsidR="00A85909" w:rsidRPr="002D0443" w:rsidRDefault="00A85909" w:rsidP="00A85909">
      <w:pPr>
        <w:rPr>
          <w:sz w:val="14"/>
        </w:rPr>
      </w:pPr>
      <w:r w:rsidRPr="008A7D8A">
        <w:rPr>
          <w:rStyle w:val="StyleUnderline"/>
        </w:rPr>
        <w:t>Throughout this conflict, we have observed Russian</w:t>
      </w:r>
      <w:r w:rsidRPr="002D0443">
        <w:rPr>
          <w:sz w:val="14"/>
        </w:rPr>
        <w:t xml:space="preserve"> nation state </w:t>
      </w:r>
      <w:r w:rsidRPr="008A7D8A">
        <w:rPr>
          <w:rStyle w:val="Emphasis"/>
        </w:rPr>
        <w:t>cyber actors</w:t>
      </w:r>
      <w:r w:rsidRPr="008A7D8A">
        <w:rPr>
          <w:rStyle w:val="StyleUnderline"/>
        </w:rPr>
        <w:t xml:space="preserve"> conducting </w:t>
      </w:r>
      <w:r w:rsidRPr="008A7D8A">
        <w:rPr>
          <w:rStyle w:val="Emphasis"/>
        </w:rPr>
        <w:t>intrusions</w:t>
      </w:r>
      <w:r w:rsidRPr="008A7D8A">
        <w:rPr>
          <w:rStyle w:val="StyleUnderline"/>
        </w:rPr>
        <w:t xml:space="preserve"> in </w:t>
      </w:r>
      <w:r w:rsidRPr="008A7D8A">
        <w:rPr>
          <w:rStyle w:val="Emphasis"/>
        </w:rPr>
        <w:t>concert</w:t>
      </w:r>
      <w:r w:rsidRPr="008A7D8A">
        <w:rPr>
          <w:rStyle w:val="StyleUnderline"/>
        </w:rPr>
        <w:t xml:space="preserve"> with </w:t>
      </w:r>
      <w:r w:rsidRPr="008A7D8A">
        <w:rPr>
          <w:rStyle w:val="Emphasis"/>
        </w:rPr>
        <w:t>kinetic military action</w:t>
      </w:r>
      <w:r w:rsidRPr="002D0443">
        <w:rPr>
          <w:sz w:val="14"/>
        </w:rPr>
        <w:t xml:space="preserve">. </w:t>
      </w:r>
    </w:p>
    <w:p w14:paraId="1C00758B" w14:textId="77777777" w:rsidR="00A85909" w:rsidRPr="002D0443" w:rsidRDefault="00A85909" w:rsidP="00A85909">
      <w:pPr>
        <w:rPr>
          <w:rStyle w:val="StyleUnderline"/>
        </w:rPr>
      </w:pPr>
      <w:r w:rsidRPr="002D0443">
        <w:rPr>
          <w:sz w:val="14"/>
        </w:rPr>
        <w:t xml:space="preserve">At least six Russian Advanced Persistent Threat (APT) </w:t>
      </w:r>
      <w:r w:rsidRPr="008A7D8A">
        <w:rPr>
          <w:rStyle w:val="StyleUnderline"/>
        </w:rPr>
        <w:t>actors</w:t>
      </w:r>
      <w:r w:rsidRPr="002D0443">
        <w:rPr>
          <w:sz w:val="14"/>
        </w:rPr>
        <w:t xml:space="preserve"> and other unattributed threats, </w:t>
      </w:r>
      <w:r w:rsidRPr="008A7D8A">
        <w:rPr>
          <w:rStyle w:val="StyleUnderline"/>
        </w:rPr>
        <w:t xml:space="preserve">have conducted </w:t>
      </w:r>
      <w:r w:rsidRPr="008A7D8A">
        <w:rPr>
          <w:rStyle w:val="Emphasis"/>
        </w:rPr>
        <w:t>destructive attacks</w:t>
      </w:r>
      <w:r w:rsidRPr="008A7D8A">
        <w:rPr>
          <w:rStyle w:val="StyleUnderline"/>
        </w:rPr>
        <w:t xml:space="preserve">, espionage operations, or both, while Russian </w:t>
      </w:r>
      <w:r w:rsidRPr="008A7D8A">
        <w:rPr>
          <w:rStyle w:val="Emphasis"/>
        </w:rPr>
        <w:t>military forces</w:t>
      </w:r>
      <w:r w:rsidRPr="008A7D8A">
        <w:rPr>
          <w:rStyle w:val="StyleUnderline"/>
        </w:rPr>
        <w:t xml:space="preserve"> attack the country by land, air, and sea</w:t>
      </w:r>
      <w:r w:rsidRPr="002D0443">
        <w:rPr>
          <w:sz w:val="14"/>
        </w:rPr>
        <w:t xml:space="preserve">. It is unclear whether computer network operators and physical forces are just independently pursuing a common set of priorities or actively coordinating. However, </w:t>
      </w:r>
      <w:r w:rsidRPr="002D0443">
        <w:rPr>
          <w:rStyle w:val="Emphasis"/>
        </w:rPr>
        <w:t>collectively</w:t>
      </w:r>
      <w:r w:rsidRPr="002D0443">
        <w:rPr>
          <w:rStyle w:val="StyleUnderline"/>
        </w:rPr>
        <w:t xml:space="preserve">, the </w:t>
      </w:r>
      <w:r w:rsidRPr="002D0443">
        <w:rPr>
          <w:rStyle w:val="Emphasis"/>
        </w:rPr>
        <w:t>cyber</w:t>
      </w:r>
      <w:r w:rsidRPr="002D0443">
        <w:rPr>
          <w:rStyle w:val="StyleUnderline"/>
        </w:rPr>
        <w:t xml:space="preserve"> and </w:t>
      </w:r>
      <w:r w:rsidRPr="002D0443">
        <w:rPr>
          <w:rStyle w:val="Emphasis"/>
        </w:rPr>
        <w:t>kinetic actions</w:t>
      </w:r>
      <w:r w:rsidRPr="002D0443">
        <w:rPr>
          <w:rStyle w:val="StyleUnderline"/>
        </w:rPr>
        <w:t xml:space="preserve"> work to </w:t>
      </w:r>
      <w:r w:rsidRPr="002D0443">
        <w:rPr>
          <w:rStyle w:val="Emphasis"/>
        </w:rPr>
        <w:t>disrupt</w:t>
      </w:r>
      <w:r w:rsidRPr="002D0443">
        <w:rPr>
          <w:rStyle w:val="StyleUnderline"/>
        </w:rPr>
        <w:t xml:space="preserve"> or </w:t>
      </w:r>
      <w:r w:rsidRPr="002D0443">
        <w:rPr>
          <w:rStyle w:val="Emphasis"/>
        </w:rPr>
        <w:t>degrade Ukrainian government and military functions</w:t>
      </w:r>
      <w:r w:rsidRPr="002D0443">
        <w:rPr>
          <w:rStyle w:val="StyleUnderline"/>
        </w:rPr>
        <w:t xml:space="preserve"> and undermine the public’s trust in those same institutions. </w:t>
      </w:r>
    </w:p>
    <w:p w14:paraId="58AA07EC" w14:textId="77777777" w:rsidR="00A85909" w:rsidRPr="002D0443" w:rsidRDefault="00A85909" w:rsidP="00A85909">
      <w:pPr>
        <w:rPr>
          <w:sz w:val="14"/>
        </w:rPr>
      </w:pPr>
      <w:r w:rsidRPr="002D0443">
        <w:rPr>
          <w:sz w:val="14"/>
        </w:rPr>
        <w:t xml:space="preserve">Destructive attacks have been a prominent component of Russian cyber operations during conflict. </w:t>
      </w:r>
    </w:p>
    <w:p w14:paraId="0DFECBF1" w14:textId="77777777" w:rsidR="00A85909" w:rsidRPr="002D0443" w:rsidRDefault="00A85909" w:rsidP="00A85909">
      <w:pPr>
        <w:rPr>
          <w:sz w:val="14"/>
        </w:rPr>
      </w:pPr>
      <w:r w:rsidRPr="002D0443">
        <w:rPr>
          <w:sz w:val="14"/>
        </w:rPr>
        <w:t xml:space="preserve">A day before the military invasion, operators associated with the GRU, Russia’s military intelligence service, launched destructive wiper attacks on hundreds of systems in Ukrainian government, IT, energy, and financial organizations. Since then, the activity we have observed has included attempts to destroy, disrupt, or infiltrate networks of government agencies, and a wide range of critical infrastructure organizations, which Russian military forces have in some cases targeted with ground attacks and missile strikes. These network operations have at times not only degraded the functions of the targeted organizations but sought to disrupt citizens’ access to reliable information and critical life services, and to shake confidence in the country’s leadership. </w:t>
      </w:r>
    </w:p>
    <w:p w14:paraId="02E2A2EA" w14:textId="77777777" w:rsidR="00A85909" w:rsidRPr="00421AF3" w:rsidRDefault="00A85909" w:rsidP="00A85909">
      <w:pPr>
        <w:rPr>
          <w:sz w:val="14"/>
        </w:rPr>
      </w:pPr>
      <w:r w:rsidRPr="002D0443">
        <w:rPr>
          <w:rStyle w:val="StyleUnderline"/>
        </w:rPr>
        <w:t xml:space="preserve">Based on Russian military goals for information warfare, these actions are likely aimed at undermining Ukraine’s political will and ability to continue the fight, while facilitating collection of intelligence that could provide </w:t>
      </w:r>
      <w:r w:rsidRPr="002D0443">
        <w:rPr>
          <w:rStyle w:val="Emphasis"/>
        </w:rPr>
        <w:t>tactical</w:t>
      </w:r>
      <w:r w:rsidRPr="002D0443">
        <w:rPr>
          <w:rStyle w:val="StyleUnderline"/>
        </w:rPr>
        <w:t xml:space="preserve"> or </w:t>
      </w:r>
      <w:r w:rsidRPr="002D0443">
        <w:rPr>
          <w:rStyle w:val="Emphasis"/>
        </w:rPr>
        <w:t>strategic advantages</w:t>
      </w:r>
      <w:r w:rsidRPr="002D0443">
        <w:rPr>
          <w:rStyle w:val="StyleUnderline"/>
        </w:rPr>
        <w:t xml:space="preserve"> to </w:t>
      </w:r>
      <w:r w:rsidRPr="002D0443">
        <w:rPr>
          <w:rStyle w:val="Emphasis"/>
        </w:rPr>
        <w:t>Russian forces.</w:t>
      </w:r>
      <w:r w:rsidRPr="002D0443">
        <w:rPr>
          <w:rStyle w:val="StyleUnderline"/>
        </w:rPr>
        <w:t xml:space="preserve"> </w:t>
      </w:r>
      <w:r w:rsidRPr="002D0443">
        <w:rPr>
          <w:sz w:val="14"/>
        </w:rPr>
        <w:t>Through our engagements with customers in Ukraine, we have observed that Russia’s computer-enabled efforts have had an impact in terms of technical disruption of services and causing a chaotic information environment, but Microsoft is not able to evaluate their broader strategic impact.</w:t>
      </w:r>
    </w:p>
    <w:p w14:paraId="4B908DA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8590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590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0E6F"/>
  <w15:chartTrackingRefBased/>
  <w15:docId w15:val="{77A93780-5AB7-4066-973F-45A45AF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5909"/>
    <w:pPr>
      <w:spacing w:after="0" w:line="240" w:lineRule="auto"/>
    </w:pPr>
    <w:rPr>
      <w:rFonts w:ascii="Georgia" w:hAnsi="Georgia"/>
      <w:sz w:val="20"/>
    </w:rPr>
  </w:style>
  <w:style w:type="paragraph" w:styleId="Heading1">
    <w:name w:val="heading 1"/>
    <w:aliases w:val="Pocket"/>
    <w:basedOn w:val="Normal"/>
    <w:next w:val="Normal"/>
    <w:link w:val="Heading1Char"/>
    <w:qFormat/>
    <w:rsid w:val="00A859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590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A8590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A8590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859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5909"/>
  </w:style>
  <w:style w:type="character" w:customStyle="1" w:styleId="Heading1Char">
    <w:name w:val="Heading 1 Char"/>
    <w:aliases w:val="Pocket Char"/>
    <w:basedOn w:val="DefaultParagraphFont"/>
    <w:link w:val="Heading1"/>
    <w:rsid w:val="00A8590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85909"/>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A85909"/>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A85909"/>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A8590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85909"/>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A85909"/>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A85909"/>
    <w:rPr>
      <w:color w:val="auto"/>
      <w:u w:val="none"/>
    </w:rPr>
  </w:style>
  <w:style w:type="character" w:styleId="FollowedHyperlink">
    <w:name w:val="FollowedHyperlink"/>
    <w:basedOn w:val="DefaultParagraphFont"/>
    <w:uiPriority w:val="99"/>
    <w:semiHidden/>
    <w:unhideWhenUsed/>
    <w:rsid w:val="00A85909"/>
    <w:rPr>
      <w:color w:val="auto"/>
      <w:u w:val="none"/>
    </w:rPr>
  </w:style>
  <w:style w:type="paragraph" w:customStyle="1" w:styleId="Emphasis1">
    <w:name w:val="Emphasis1"/>
    <w:basedOn w:val="Normal"/>
    <w:link w:val="Emphasis"/>
    <w:autoRedefine/>
    <w:uiPriority w:val="7"/>
    <w:qFormat/>
    <w:rsid w:val="00A85909"/>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A8590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co.com/invest-china/en/institutional/insights/china-explained-series-whats-driving-growth-in-chinas-biotech-industr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co.com/invest-china/en/institutional/insights/china-explained-series-whats-driving-growth-in-chinas-biotech-industr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co.com/invest-china/en/institutional/insights/china-explained-series-whats-driving-growth-in-chinas-biotech-industry.html"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2022-07-27T20:30:00Z</dcterms:created>
  <dcterms:modified xsi:type="dcterms:W3CDTF">2022-07-27T20:39:00Z</dcterms:modified>
</cp:coreProperties>
</file>