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E7C86"/>
          <w:sz w:val="34"/>
          <w:szCs w:val="34"/>
        </w:rPr>
        <w:t xml:space="preserve">💧 AquaResiliencia Tijuana</w:t>
      </w:r>
    </w:p>
    <w:p>
      <w:pPr>
        <w:pBdr>
          <w:bottom w:val="single" w:color="DCE7EC" w:sz="6" w:space="4"/>
        </w:pBdr>
        <w:spacing w:after="140"/>
      </w:pPr>
      <w:r>
        <w:rPr>
          <w:i/>
          <w:iCs/>
          <w:color w:val="5B7079"/>
          <w:sz w:val="20"/>
          <w:szCs w:val="20"/>
        </w:rPr>
        <w:t xml:space="preserve">Red Centinela de Seguridad Hídrica — Postulación INNODROP 2026</w:t>
      </w:r>
    </w:p>
    <w:p>
      <w:pPr>
        <w:spacing w:after="160"/>
      </w:pPr>
      <w:r>
        <w:rPr>
          <w:b/>
          <w:bCs/>
          <w:color w:val="0E7C86"/>
          <w:sz w:val="16"/>
          <w:szCs w:val="16"/>
        </w:rPr>
        <w:t xml:space="preserve">CATEGORÍA:  </w:t>
      </w:r>
      <w:r>
        <w:rPr>
          <w:b/>
          <w:bCs/>
          <w:color w:val="0E1B26"/>
          <w:sz w:val="18"/>
          <w:szCs w:val="18"/>
        </w:rPr>
        <w:t xml:space="preserve">Emprendedores mayores de edad, operaciones en México</w:t>
      </w:r>
      <w:r>
        <w:rPr>
          <w:color w:val="0E1B26"/>
          <w:sz w:val="18"/>
          <w:szCs w:val="18"/>
        </w:rPr>
        <w:t xml:space="preserve">      |      </w:t>
      </w:r>
      <w:r>
        <w:rPr>
          <w:b/>
          <w:bCs/>
          <w:color w:val="0E7C86"/>
          <w:sz w:val="16"/>
          <w:szCs w:val="16"/>
        </w:rPr>
        <w:t xml:space="preserve">REGIÓN:  </w:t>
      </w:r>
      <w:r>
        <w:rPr>
          <w:color w:val="0E1B26"/>
          <w:sz w:val="18"/>
          <w:szCs w:val="18"/>
        </w:rPr>
        <w:t xml:space="preserve">Tijuana / Baja California — Acuífero CONAGUA 0201</w:t>
      </w:r>
    </w:p>
    <w:p>
      <w:pPr>
        <w:spacing w:after="60" w:before="60"/>
      </w:pPr>
      <w:r>
        <w:rPr>
          <w:b/>
          <w:bCs/>
          <w:color w:val="0E7C86"/>
          <w:sz w:val="16"/>
          <w:szCs w:val="16"/>
        </w:rPr>
        <w:t xml:space="preserve">EL PROBLEMA</w:t>
      </w:r>
    </w:p>
    <w:p>
      <w:pPr>
        <w:spacing w:after="160"/>
      </w:pPr>
      <w:r>
        <w:rPr>
          <w:color w:val="0E1B26"/>
          <w:sz w:val="18"/>
          <w:szCs w:val="18"/>
        </w:rPr>
        <w:t xml:space="preserve">Tijuana depende en más del 90% del Acueducto Río Colorado–Tijuana, que cruza La Rumorosa con un consumo energético de ~7.5 kWh/m³ y está sujeto a la crisis del Lago Mead. El acuífero local (CONAGUA 0201) tiene un déficit oficial de </w:t>
      </w:r>
      <w:r>
        <w:rPr>
          <w:b/>
          <w:bCs/>
          <w:color w:val="0E1B26"/>
          <w:sz w:val="18"/>
          <w:szCs w:val="18"/>
        </w:rPr>
        <w:t xml:space="preserve">-1,664,020 m³/año</w:t>
      </w:r>
      <w:r>
        <w:rPr>
          <w:color w:val="0E1B26"/>
          <w:sz w:val="18"/>
          <w:szCs w:val="18"/>
        </w:rPr>
        <w:t xml:space="preserve"> (DR_0201, 2024). En las colonias periféricas, miles de familias no tienen forma de saber, en tiempo real, si el agua subterránea bajo su predio es segura o si extraerla arriesga sobreexplotar el acuífero — y hoy pagan $300–$1,200 MXN/mes por agua de pipa de calidad incierta.</w:t>
      </w:r>
    </w:p>
    <w:p>
      <w:pPr>
        <w:spacing w:after="60" w:before="60"/>
      </w:pPr>
      <w:r>
        <w:rPr>
          <w:b/>
          <w:bCs/>
          <w:color w:val="0E7C86"/>
          <w:sz w:val="16"/>
          <w:szCs w:val="16"/>
        </w:rPr>
        <w:t xml:space="preserve">LA SOLUCIÓN — Plataforma de prevención, no solo extracción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E1B26"/>
          <w:sz w:val="18"/>
          <w:szCs w:val="18"/>
        </w:rPr>
        <w:t xml:space="preserve">AquaEngine: </w:t>
      </w:r>
      <w:r>
        <w:rPr>
          <w:color w:val="0E1B26"/>
          <w:sz w:val="18"/>
          <w:szCs w:val="18"/>
        </w:rPr>
        <w:t xml:space="preserve">modelo de viabilidad geoespacial que cruza altimetría satelital con datos oficiales CONAGUA/REPDA/SGM para clasificar un punto como seguro, condicionado o no viable antes de tocar tierra — replicable en cualquier cuenca de México.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E1B26"/>
          <w:sz w:val="18"/>
          <w:szCs w:val="18"/>
        </w:rPr>
        <w:t xml:space="preserve">Nodo Centinela IoT (ESP32): </w:t>
      </w:r>
      <w:r>
        <w:rPr>
          <w:color w:val="0E1B26"/>
          <w:sz w:val="18"/>
          <w:szCs w:val="18"/>
        </w:rPr>
        <w:t xml:space="preserve">sensores de conductividad (TDS), nivel freático y caudal con corte automático de bomba ante abatimiento o contaminación. Firmware funcionando, no solo concepto.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E1B26"/>
          <w:sz w:val="18"/>
          <w:szCs w:val="18"/>
        </w:rPr>
        <w:t xml:space="preserve">Caso de aplicación real: </w:t>
      </w:r>
      <w:r>
        <w:rPr>
          <w:color w:val="0E1B26"/>
          <w:sz w:val="18"/>
          <w:szCs w:val="18"/>
        </w:rPr>
        <w:t xml:space="preserve">acuífero Tijuana 0201, con matriz de 25+ fuentes documentales oficiales (CONAGUA, SGM, USGS, UABC, CICESE, El Colef) y 8 sitios piloto mapeados con coordenadas y clasificación de riesgo.</w:t>
      </w:r>
    </w:p>
    <w:p>
      <w:pPr>
        <w:spacing w:after="60" w:before="140"/>
      </w:pPr>
      <w:r>
        <w:rPr>
          <w:b/>
          <w:bCs/>
          <w:color w:val="0E7C86"/>
          <w:sz w:val="16"/>
          <w:szCs w:val="16"/>
        </w:rPr>
        <w:t xml:space="preserve">EVIDENCIA Y AVANCE ACTUAL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E1B26"/>
          <w:sz w:val="18"/>
          <w:szCs w:val="18"/>
        </w:rPr>
        <w:t xml:space="preserve">Prototipo funcional en producción: mapa interactivo, corte 3D hidrogeológico, calculadora de costos, generador de solicitud CONAGUA.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E1B26"/>
          <w:sz w:val="18"/>
          <w:szCs w:val="18"/>
        </w:rPr>
        <w:t xml:space="preserve">Firmware ESP32 real con lógica de corte de seguridad y API de telemetría 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E1B26"/>
          <w:sz w:val="18"/>
          <w:szCs w:val="18"/>
        </w:rPr>
        <w:t xml:space="preserve">Equipo preseleccionado como candidato destacado por Ventures Hack 2026 (CDT) en etapa previa de validación.</w:t>
      </w:r>
    </w:p>
    <w:p>
      <w:pPr>
        <w:spacing w:after="60" w:before="140"/>
      </w:pPr>
      <w:r>
        <w:rPr>
          <w:b/>
          <w:bCs/>
          <w:color w:val="0E7C86"/>
          <w:sz w:val="16"/>
          <w:szCs w:val="16"/>
        </w:rPr>
        <w:t xml:space="preserve">POR QUÉ AHORA</w:t>
      </w:r>
    </w:p>
    <w:p>
      <w:pPr>
        <w:spacing w:after="160"/>
      </w:pPr>
      <w:r>
        <w:rPr>
          <w:color w:val="0E1B26"/>
          <w:sz w:val="18"/>
          <w:szCs w:val="18"/>
        </w:rPr>
        <w:t xml:space="preserve">La plataforma no depende de resolver primero el litigio de la extracción: el AquaEngine y la Red Centinela ya generan valor como herramienta de datos, monitoreo y prevención de riesgo hídrico — deployable en cualquier organismo operador, municipio o cuenca del país, no solo en Tijuana.</w:t>
      </w:r>
    </w:p>
    <w:p>
      <w:pPr>
        <w:pBdr>
          <w:top w:val="single" w:color="DCE7EC" w:sz="6" w:space="6"/>
        </w:pBdr>
        <w:spacing w:after="40" w:before="100"/>
      </w:pPr>
      <w:r>
        <w:rPr>
          <w:b/>
          <w:bCs/>
          <w:color w:val="5B7079"/>
          <w:sz w:val="16"/>
          <w:szCs w:val="16"/>
        </w:rPr>
        <w:t xml:space="preserve">CONTACTO:  </w:t>
      </w:r>
      <w:r>
        <w:rPr>
          <w:b/>
          <w:bCs/>
          <w:color w:val="0E1B26"/>
          <w:sz w:val="18"/>
          <w:szCs w:val="18"/>
        </w:rPr>
        <w:t xml:space="preserve">Pablo — archiduquecampos@gmail.com</w:t>
      </w:r>
    </w:p>
    <w:p>
      <w:r>
        <w:rPr>
          <w:b/>
          <w:bCs/>
          <w:color w:val="5B7079"/>
          <w:sz w:val="16"/>
          <w:szCs w:val="16"/>
        </w:rPr>
        <w:t xml:space="preserve">REPOSITORIO / DEMO:  </w:t>
      </w:r>
      <w:r>
        <w:rPr>
          <w:color w:val="0E1B26"/>
          <w:sz w:val="18"/>
          <w:szCs w:val="18"/>
        </w:rPr>
        <w:t xml:space="preserve">https://github.com/quecrap/123portijuana   |   https://quecrap.github.io/123portijuana/</w:t>
      </w:r>
    </w:p>
    <w:sectPr>
      <w:pgSz w:w="12240" w:h="15840" w:orient="portrait"/>
      <w:pgMar w:top="62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2026-08-30T14:47:01.632Z</dcterms:created>
  <dcterms:modified xsi:type="dcterms:W3CDTF">2026-08-30T14:47:01.633Z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