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E3A5F"/>
          <w:sz w:val="80"/>
        </w:rPr>
        <w:t>AgeCareAI</w:t>
      </w:r>
    </w:p>
    <w:p>
      <w:pPr>
        <w:jc w:val="center"/>
      </w:pPr>
      <w:r>
        <w:rPr>
          <w:i/>
          <w:color w:val="1F499B"/>
          <w:sz w:val="36"/>
        </w:rPr>
        <w:t>Autonomous Elder Care Platform — Singapore</w:t>
      </w:r>
    </w:p>
    <w:p/>
    <w:tbl>
      <w:tblPr>
        <w:tblW w:type="auto" w:w="0"/>
        <w:jc w:val="center"/>
        <w:tblLook w:firstColumn="1" w:firstRow="1" w:lastColumn="0" w:lastRow="0" w:noHBand="0" w:noVBand="1" w:val="04A0"/>
      </w:tblPr>
      <w:tblGrid>
        <w:gridCol w:w="4533"/>
        <w:gridCol w:w="4533"/>
      </w:tblGrid>
      <w:tr>
        <w:tc>
          <w:tcPr>
            <w:tcW w:type="dxa" w:w="4533"/>
          </w:tcPr>
          <w:p>
            <w:r>
              <w:rPr>
                <w:b/>
                <w:color w:val="1E3A5F"/>
                <w:sz w:val="22"/>
              </w:rPr>
              <w:t>Date</w:t>
            </w:r>
          </w:p>
        </w:tc>
        <w:tc>
          <w:tcPr>
            <w:tcW w:type="dxa" w:w="4533"/>
          </w:tcPr>
          <w:p>
            <w:r>
              <w:rPr>
                <w:color w:val="2D2D2D"/>
                <w:sz w:val="22"/>
              </w:rPr>
              <w:t>22 May 2026</w:t>
            </w:r>
          </w:p>
        </w:tc>
      </w:tr>
      <w:tr>
        <w:tc>
          <w:tcPr>
            <w:tcW w:type="dxa" w:w="4533"/>
          </w:tcPr>
          <w:p>
            <w:r>
              <w:rPr>
                <w:b/>
                <w:color w:val="1E3A5F"/>
                <w:sz w:val="22"/>
              </w:rPr>
              <w:t>Prepared by</w:t>
            </w:r>
          </w:p>
        </w:tc>
        <w:tc>
          <w:tcPr>
            <w:tcW w:type="dxa" w:w="4533"/>
          </w:tcPr>
          <w:p>
            <w:r>
              <w:rPr>
                <w:color w:val="2D2D2D"/>
                <w:sz w:val="22"/>
              </w:rPr>
              <w:t>AgeCareAI Development Team</w:t>
            </w:r>
          </w:p>
        </w:tc>
      </w:tr>
      <w:tr>
        <w:tc>
          <w:tcPr>
            <w:tcW w:type="dxa" w:w="4533"/>
          </w:tcPr>
          <w:p>
            <w:r>
              <w:rPr>
                <w:b/>
                <w:color w:val="1E3A5F"/>
                <w:sz w:val="22"/>
              </w:rPr>
              <w:t>Repository</w:t>
            </w:r>
          </w:p>
        </w:tc>
        <w:tc>
          <w:tcPr>
            <w:tcW w:type="dxa" w:w="4533"/>
          </w:tcPr>
          <w:p>
            <w:r>
              <w:rPr>
                <w:color w:val="2D2D2D"/>
                <w:sz w:val="22"/>
              </w:rPr>
              <w:t>https://github.com/queenie9216/AgeCareAI-</w:t>
            </w:r>
          </w:p>
        </w:tc>
      </w:tr>
    </w:tbl>
    <w:p/>
    <w:p>
      <w:r>
        <w:br w:type="page"/>
      </w:r>
    </w:p>
    <w:p>
      <w:pPr>
        <w:pStyle w:val="Heading1"/>
      </w:pPr>
      <w:r>
        <w:t>SECTION 1 — FOR THE BUSINESS MANAGER: Approval to Launch</w:t>
      </w:r>
    </w:p>
    <w:p>
      <w:pPr>
        <w:spacing w:before="40" w:after="40"/>
        <w:pBdr>
          <w:bottom w:val="single" w:sz="6" w:space="1" w:color="1F499B"/>
        </w:pBdr>
      </w:pPr>
    </w:p>
    <w:p>
      <w:pPr>
        <w:pStyle w:val="Heading2"/>
      </w:pPr>
      <w:r>
        <w:t>The Problem AgeCareAI Solves — and Why Singapore Cannot Wait</w:t>
      </w:r>
    </w:p>
    <w:p>
      <w:pPr>
        <w:spacing w:before="40" w:after="120"/>
      </w:pPr>
      <w:r>
        <w:rPr>
          <w:b w:val="0"/>
          <w:color w:val="2D2D2D"/>
          <w:sz w:val="22"/>
        </w:rPr>
        <w:t>Singapore is ageing faster than almost any nation on earth. By 2030, one in four citizens will be over 65. Today, Singapore's public hospitals are under sustained pressure: acute beds fill with elderly patients whose deterioration was not caught early enough, family caregivers cannot monitor loved ones around the clock, and community nurses carry caseloads that leave little time to identify who most urgently needs attention.</w:t>
      </w:r>
    </w:p>
    <w:p>
      <w:pPr>
        <w:spacing w:before="40" w:after="120"/>
      </w:pPr>
      <w:r>
        <w:rPr>
          <w:b w:val="0"/>
          <w:color w:val="2D2D2D"/>
          <w:sz w:val="22"/>
        </w:rPr>
        <w:t>The existing system is reactive. A senior falls at home — and the family finds out an hour later. A nurse reviews twenty patients on paper — and the sickest may not be obvious until a crisis. A caregiver calls in sick — and patients in that zone lose their visit for the day.</w:t>
      </w:r>
    </w:p>
    <w:p>
      <w:pPr>
        <w:spacing w:before="40" w:after="120"/>
      </w:pPr>
      <w:r>
        <w:rPr>
          <w:b w:val="0"/>
          <w:color w:val="2D2D2D"/>
          <w:sz w:val="22"/>
        </w:rPr>
        <w:t>AgeCareAI makes the system proactive. It watches continuously, ranks automatically, schedules optimally, and acts in seconds — so human caregivers arrive at the right patient at the right time, and emergencies are escalated before they become tragedies.</w:t>
      </w:r>
    </w:p>
    <w:p>
      <w:pPr>
        <w:pStyle w:val="Heading2"/>
      </w:pPr>
      <w:r>
        <w:t>What the Product Does — in Plain English</w:t>
      </w:r>
    </w:p>
    <w:p>
      <w:pPr>
        <w:spacing w:before="40" w:after="120"/>
      </w:pPr>
      <w:r>
        <w:rPr>
          <w:b w:val="0"/>
          <w:color w:val="2D2D2D"/>
          <w:sz w:val="22"/>
        </w:rPr>
        <w:t>AgeCareAI is a web-based dashboard that combines four AI capabilities into a single screen:</w:t>
      </w:r>
    </w:p>
    <w:p>
      <w:pPr>
        <w:pStyle w:val="ListNumber"/>
        <w:spacing w:before="20" w:after="40"/>
        <w:ind w:left="283"/>
      </w:pPr>
      <w:r>
        <w:rPr>
          <w:b/>
          <w:color w:val="2D2D2D"/>
          <w:sz w:val="22"/>
        </w:rPr>
        <w:t>Fall Detector</w:t>
      </w:r>
      <w:r>
        <w:rPr>
          <w:b w:val="0"/>
          <w:color w:val="2D2D2D"/>
          <w:sz w:val="22"/>
        </w:rPr>
        <w:t xml:space="preserve"> — A wristband or phone sensor sends movement data every split second. The AI reads that data and tells you within moments whether the person is walking normally, shuffling (an early warning sign), or has fallen. If a fall is detected with high confidence, an alert fires immediately.</w:t>
      </w:r>
    </w:p>
    <w:p>
      <w:pPr>
        <w:pStyle w:val="ListNumber"/>
        <w:spacing w:before="20" w:after="40"/>
        <w:ind w:left="283"/>
      </w:pPr>
      <w:r>
        <w:rPr>
          <w:b/>
          <w:color w:val="2D2D2D"/>
          <w:sz w:val="22"/>
        </w:rPr>
        <w:t>Health Risk Ranking</w:t>
      </w:r>
      <w:r>
        <w:rPr>
          <w:b w:val="0"/>
          <w:color w:val="2D2D2D"/>
          <w:sz w:val="22"/>
        </w:rPr>
        <w:t xml:space="preserve"> — Every morning, the platform scores each senior on their likelihood of being hospitalised in the next 30 days. It reads seven health indicators — age, heart rate, blood oxygen, sleep, steps, past hospitalisations, and a frailty score — and sorts the nurse's daily call list from most urgent to least. The nurse calls the red patients first.</w:t>
      </w:r>
    </w:p>
    <w:p>
      <w:pPr>
        <w:pStyle w:val="ListNumber"/>
        <w:spacing w:before="20" w:after="40"/>
        <w:ind w:left="283"/>
      </w:pPr>
      <w:r>
        <w:rPr>
          <w:b/>
          <w:color w:val="2D2D2D"/>
          <w:sz w:val="22"/>
        </w:rPr>
        <w:t>Caregiver Scheduler</w:t>
      </w:r>
      <w:r>
        <w:rPr>
          <w:b w:val="0"/>
          <w:color w:val="2D2D2D"/>
          <w:sz w:val="22"/>
        </w:rPr>
        <w:t xml:space="preserve"> — The platform automatically assigns each caregiver to the seniors they are qualified to visit, in a nearby location, without overloading anyone. If a caregiver cancels, it rebuilds the entire day's schedule in under a second.</w:t>
      </w:r>
    </w:p>
    <w:p>
      <w:pPr>
        <w:pStyle w:val="ListNumber"/>
        <w:spacing w:before="20" w:after="40"/>
        <w:ind w:left="283"/>
      </w:pPr>
      <w:r>
        <w:rPr>
          <w:b/>
          <w:color w:val="2D2D2D"/>
          <w:sz w:val="22"/>
        </w:rPr>
        <w:t>Autonomous Care Agent</w:t>
      </w:r>
      <w:r>
        <w:rPr>
          <w:b w:val="0"/>
          <w:color w:val="2D2D2D"/>
          <w:sz w:val="22"/>
        </w:rPr>
        <w:t xml:space="preserve"> — When something goes wrong — a fall, a drop in blood oxygen, missed medication — the platform decides what to do: call for an ambulance, alert the family, book a polyclinic appointment, or send a gentle reminder. It logs every action to the National Electronic Health Record (NEHR).</w:t>
      </w:r>
    </w:p>
    <w:p>
      <w:pPr>
        <w:pStyle w:val="Heading2"/>
      </w:pPr>
      <w:r>
        <w:t>Commercial Viability</w:t>
      </w:r>
    </w:p>
    <w:p>
      <w:pPr>
        <w:pStyle w:val="Heading3"/>
      </w:pPr>
      <w:r>
        <w:t>Who Pays and How</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Customer Type</w:t>
            </w:r>
          </w:p>
        </w:tc>
        <w:tc>
          <w:tcPr>
            <w:tcW w:type="dxa" w:w="3022"/>
            <w:shd w:val="clear" w:color="auto" w:fill="1E3A5F"/>
          </w:tcPr>
          <w:p>
            <w:pPr>
              <w:spacing w:before="60" w:after="60"/>
            </w:pPr>
            <w:r>
              <w:rPr>
                <w:rFonts w:ascii="Calibri" w:hAnsi="Calibri"/>
                <w:b/>
                <w:color w:val="FFFFFF"/>
                <w:sz w:val="20"/>
              </w:rPr>
              <w:t>Payment Model</w:t>
            </w:r>
          </w:p>
        </w:tc>
        <w:tc>
          <w:tcPr>
            <w:tcW w:type="dxa" w:w="3022"/>
            <w:shd w:val="clear" w:color="auto" w:fill="1E3A5F"/>
          </w:tcPr>
          <w:p>
            <w:pPr>
              <w:spacing w:before="60" w:after="60"/>
            </w:pPr>
            <w:r>
              <w:rPr>
                <w:rFonts w:ascii="Calibri" w:hAnsi="Calibri"/>
                <w:b/>
                <w:color w:val="FFFFFF"/>
                <w:sz w:val="20"/>
              </w:rPr>
              <w:t>Pricing Rationale</w:t>
            </w:r>
          </w:p>
        </w:tc>
      </w:tr>
      <w:tr>
        <w:tc>
          <w:tcPr>
            <w:tcW w:type="dxa" w:w="3022"/>
            <w:shd w:val="clear" w:color="auto" w:fill="F0F4FA"/>
          </w:tcPr>
          <w:p>
            <w:pPr>
              <w:spacing w:before="40" w:after="40"/>
            </w:pPr>
            <w:r>
              <w:rPr>
                <w:b w:val="0"/>
                <w:color w:val="2D2D2D"/>
                <w:sz w:val="20"/>
              </w:rPr>
              <w:t>Public hospitals / polyclinics (MOH cluster)</w:t>
            </w:r>
          </w:p>
        </w:tc>
        <w:tc>
          <w:tcPr>
            <w:tcW w:type="dxa" w:w="3022"/>
            <w:shd w:val="clear" w:color="auto" w:fill="F0F4FA"/>
          </w:tcPr>
          <w:p>
            <w:pPr>
              <w:spacing w:before="40" w:after="40"/>
            </w:pPr>
            <w:r>
              <w:rPr>
                <w:b w:val="0"/>
                <w:color w:val="2D2D2D"/>
                <w:sz w:val="20"/>
              </w:rPr>
              <w:t>Annual SaaS licence per facility</w:t>
            </w:r>
          </w:p>
        </w:tc>
        <w:tc>
          <w:tcPr>
            <w:tcW w:type="dxa" w:w="3022"/>
            <w:shd w:val="clear" w:color="auto" w:fill="F0F4FA"/>
          </w:tcPr>
          <w:p>
            <w:pPr>
              <w:spacing w:before="40" w:after="40"/>
            </w:pPr>
            <w:r>
              <w:rPr>
                <w:b w:val="0"/>
                <w:color w:val="2D2D2D"/>
                <w:sz w:val="20"/>
              </w:rPr>
              <w:t>Displaces manual coordination cost</w:t>
            </w:r>
          </w:p>
        </w:tc>
      </w:tr>
      <w:tr>
        <w:tc>
          <w:tcPr>
            <w:tcW w:type="dxa" w:w="3022"/>
            <w:shd w:val="clear" w:color="auto" w:fill="FFFFFF"/>
          </w:tcPr>
          <w:p>
            <w:pPr>
              <w:spacing w:before="40" w:after="40"/>
            </w:pPr>
            <w:r>
              <w:rPr>
                <w:b w:val="0"/>
                <w:color w:val="2D2D2D"/>
                <w:sz w:val="20"/>
              </w:rPr>
              <w:t>Community care agencies (NTUC Health, Tsao Foundation)</w:t>
            </w:r>
          </w:p>
        </w:tc>
        <w:tc>
          <w:tcPr>
            <w:tcW w:type="dxa" w:w="3022"/>
            <w:shd w:val="clear" w:color="auto" w:fill="FFFFFF"/>
          </w:tcPr>
          <w:p>
            <w:pPr>
              <w:spacing w:before="40" w:after="40"/>
            </w:pPr>
            <w:r>
              <w:rPr>
                <w:b w:val="0"/>
                <w:color w:val="2D2D2D"/>
                <w:sz w:val="20"/>
              </w:rPr>
              <w:t>Per-senior-per-month subscription</w:t>
            </w:r>
          </w:p>
        </w:tc>
        <w:tc>
          <w:tcPr>
            <w:tcW w:type="dxa" w:w="3022"/>
            <w:shd w:val="clear" w:color="auto" w:fill="FFFFFF"/>
          </w:tcPr>
          <w:p>
            <w:pPr>
              <w:spacing w:before="40" w:after="40"/>
            </w:pPr>
            <w:r>
              <w:rPr>
                <w:b w:val="0"/>
                <w:color w:val="2D2D2D"/>
                <w:sz w:val="20"/>
              </w:rPr>
              <w:t>Scales with their caseload</w:t>
            </w:r>
          </w:p>
        </w:tc>
      </w:tr>
      <w:tr>
        <w:tc>
          <w:tcPr>
            <w:tcW w:type="dxa" w:w="3022"/>
            <w:shd w:val="clear" w:color="auto" w:fill="F0F4FA"/>
          </w:tcPr>
          <w:p>
            <w:pPr>
              <w:spacing w:before="40" w:after="40"/>
            </w:pPr>
            <w:r>
              <w:rPr>
                <w:b w:val="0"/>
                <w:color w:val="2D2D2D"/>
                <w:sz w:val="20"/>
              </w:rPr>
              <w:t>Family caregivers (consumer tier)</w:t>
            </w:r>
          </w:p>
        </w:tc>
        <w:tc>
          <w:tcPr>
            <w:tcW w:type="dxa" w:w="3022"/>
            <w:shd w:val="clear" w:color="auto" w:fill="F0F4FA"/>
          </w:tcPr>
          <w:p>
            <w:pPr>
              <w:spacing w:before="40" w:after="40"/>
            </w:pPr>
            <w:r>
              <w:rPr>
                <w:b w:val="0"/>
                <w:color w:val="2D2D2D"/>
                <w:sz w:val="20"/>
              </w:rPr>
              <w:t>Monthly app subscription</w:t>
            </w:r>
          </w:p>
        </w:tc>
        <w:tc>
          <w:tcPr>
            <w:tcW w:type="dxa" w:w="3022"/>
            <w:shd w:val="clear" w:color="auto" w:fill="F0F4FA"/>
          </w:tcPr>
          <w:p>
            <w:pPr>
              <w:spacing w:before="40" w:after="40"/>
            </w:pPr>
            <w:r>
              <w:rPr>
                <w:b w:val="0"/>
                <w:color w:val="2D2D2D"/>
                <w:sz w:val="20"/>
              </w:rPr>
              <w:t>Peace of mind, monitoring alerts</w:t>
            </w:r>
          </w:p>
        </w:tc>
      </w:tr>
      <w:tr>
        <w:tc>
          <w:tcPr>
            <w:tcW w:type="dxa" w:w="3022"/>
            <w:shd w:val="clear" w:color="auto" w:fill="FFFFFF"/>
          </w:tcPr>
          <w:p>
            <w:pPr>
              <w:spacing w:before="40" w:after="40"/>
            </w:pPr>
            <w:r>
              <w:rPr>
                <w:b w:val="0"/>
                <w:color w:val="2D2D2D"/>
                <w:sz w:val="20"/>
              </w:rPr>
              <w:t>Corporate HR (employee eldercare benefit)</w:t>
            </w:r>
          </w:p>
        </w:tc>
        <w:tc>
          <w:tcPr>
            <w:tcW w:type="dxa" w:w="3022"/>
            <w:shd w:val="clear" w:color="auto" w:fill="FFFFFF"/>
          </w:tcPr>
          <w:p>
            <w:pPr>
              <w:spacing w:before="40" w:after="40"/>
            </w:pPr>
            <w:r>
              <w:rPr>
                <w:b w:val="0"/>
                <w:color w:val="2D2D2D"/>
                <w:sz w:val="20"/>
              </w:rPr>
              <w:t>Group licence</w:t>
            </w:r>
          </w:p>
        </w:tc>
        <w:tc>
          <w:tcPr>
            <w:tcW w:type="dxa" w:w="3022"/>
            <w:shd w:val="clear" w:color="auto" w:fill="FFFFFF"/>
          </w:tcPr>
          <w:p>
            <w:pPr>
              <w:spacing w:before="40" w:after="40"/>
            </w:pPr>
            <w:r>
              <w:rPr>
                <w:b w:val="0"/>
                <w:color w:val="2D2D2D"/>
                <w:sz w:val="20"/>
              </w:rPr>
              <w:t>Growing eldercare workplace need</w:t>
            </w:r>
          </w:p>
        </w:tc>
      </w:tr>
    </w:tbl>
    <w:p/>
    <w:p>
      <w:pPr>
        <w:spacing w:before="40" w:after="120"/>
      </w:pPr>
      <w:r>
        <w:rPr>
          <w:b w:val="0"/>
          <w:color w:val="2D2D2D"/>
          <w:sz w:val="22"/>
        </w:rPr>
        <w:t>A conservative SaaS licence for a mid-sized community care agency covering 500 seniors at S$30/senior/month yields S$180,000 per year per agency. Singapore has over 40 licensed community care agencies — total addressable revenue exceeds S$7M/year in Singapore alone, before expansion to Japan, South Korea, and Taiwan.</w:t>
      </w:r>
    </w:p>
    <w:p>
      <w:pPr>
        <w:pStyle w:val="Heading3"/>
      </w:pPr>
      <w:r>
        <w:t>Singapore Government Grants That Apply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Grant</w:t>
            </w:r>
          </w:p>
        </w:tc>
        <w:tc>
          <w:tcPr>
            <w:tcW w:type="dxa" w:w="3022"/>
            <w:shd w:val="clear" w:color="auto" w:fill="1E3A5F"/>
          </w:tcPr>
          <w:p>
            <w:pPr>
              <w:spacing w:before="60" w:after="60"/>
            </w:pPr>
            <w:r>
              <w:rPr>
                <w:rFonts w:ascii="Calibri" w:hAnsi="Calibri"/>
                <w:b/>
                <w:color w:val="FFFFFF"/>
                <w:sz w:val="20"/>
              </w:rPr>
              <w:t>Amount</w:t>
            </w:r>
          </w:p>
        </w:tc>
        <w:tc>
          <w:tcPr>
            <w:tcW w:type="dxa" w:w="3022"/>
            <w:shd w:val="clear" w:color="auto" w:fill="1E3A5F"/>
          </w:tcPr>
          <w:p>
            <w:pPr>
              <w:spacing w:before="60" w:after="60"/>
            </w:pPr>
            <w:r>
              <w:rPr>
                <w:rFonts w:ascii="Calibri" w:hAnsi="Calibri"/>
                <w:b/>
                <w:color w:val="FFFFFF"/>
                <w:sz w:val="20"/>
              </w:rPr>
              <w:t>Fit</w:t>
            </w:r>
          </w:p>
        </w:tc>
      </w:tr>
      <w:tr>
        <w:tc>
          <w:tcPr>
            <w:tcW w:type="dxa" w:w="3022"/>
            <w:shd w:val="clear" w:color="auto" w:fill="F0F4FA"/>
          </w:tcPr>
          <w:p>
            <w:pPr>
              <w:spacing w:before="40" w:after="40"/>
            </w:pPr>
            <w:r>
              <w:rPr>
                <w:b w:val="0"/>
                <w:color w:val="2D2D2D"/>
                <w:sz w:val="20"/>
              </w:rPr>
              <w:t>ACT Fund (Ageing-Care-Technology) — MOH</w:t>
            </w:r>
          </w:p>
        </w:tc>
        <w:tc>
          <w:tcPr>
            <w:tcW w:type="dxa" w:w="3022"/>
            <w:shd w:val="clear" w:color="auto" w:fill="F0F4FA"/>
          </w:tcPr>
          <w:p>
            <w:pPr>
              <w:spacing w:before="40" w:after="40"/>
            </w:pPr>
            <w:r>
              <w:rPr>
                <w:b w:val="0"/>
                <w:color w:val="2D2D2D"/>
                <w:sz w:val="20"/>
              </w:rPr>
              <w:t>Up to S$5M</w:t>
            </w:r>
          </w:p>
        </w:tc>
        <w:tc>
          <w:tcPr>
            <w:tcW w:type="dxa" w:w="3022"/>
            <w:shd w:val="clear" w:color="auto" w:fill="F0F4FA"/>
          </w:tcPr>
          <w:p>
            <w:pPr>
              <w:spacing w:before="40" w:after="40"/>
            </w:pPr>
            <w:r>
              <w:rPr>
                <w:b w:val="0"/>
                <w:color w:val="2D2D2D"/>
                <w:sz w:val="20"/>
              </w:rPr>
              <w:t>Directly funds eldercare AI; AgeCareAI is a textbook qualifying project</w:t>
            </w:r>
          </w:p>
        </w:tc>
      </w:tr>
      <w:tr>
        <w:tc>
          <w:tcPr>
            <w:tcW w:type="dxa" w:w="3022"/>
            <w:shd w:val="clear" w:color="auto" w:fill="FFFFFF"/>
          </w:tcPr>
          <w:p>
            <w:pPr>
              <w:spacing w:before="40" w:after="40"/>
            </w:pPr>
            <w:r>
              <w:rPr>
                <w:b w:val="0"/>
                <w:color w:val="2D2D2D"/>
                <w:sz w:val="20"/>
              </w:rPr>
              <w:t>Healthier SG Digital Enablement</w:t>
            </w:r>
          </w:p>
        </w:tc>
        <w:tc>
          <w:tcPr>
            <w:tcW w:type="dxa" w:w="3022"/>
            <w:shd w:val="clear" w:color="auto" w:fill="FFFFFF"/>
          </w:tcPr>
          <w:p>
            <w:pPr>
              <w:spacing w:before="40" w:after="40"/>
            </w:pPr>
            <w:r>
              <w:rPr>
                <w:b w:val="0"/>
                <w:color w:val="2D2D2D"/>
                <w:sz w:val="20"/>
              </w:rPr>
              <w:t>Varies</w:t>
            </w:r>
          </w:p>
        </w:tc>
        <w:tc>
          <w:tcPr>
            <w:tcW w:type="dxa" w:w="3022"/>
            <w:shd w:val="clear" w:color="auto" w:fill="FFFFFF"/>
          </w:tcPr>
          <w:p>
            <w:pPr>
              <w:spacing w:before="40" w:after="40"/>
            </w:pPr>
            <w:r>
              <w:rPr>
                <w:b w:val="0"/>
                <w:color w:val="2D2D2D"/>
                <w:sz w:val="20"/>
              </w:rPr>
              <w:t>Community-based preventive care tools; fall detection and risk ranking align with Healthier SG goals</w:t>
            </w:r>
          </w:p>
        </w:tc>
      </w:tr>
      <w:tr>
        <w:tc>
          <w:tcPr>
            <w:tcW w:type="dxa" w:w="3022"/>
            <w:shd w:val="clear" w:color="auto" w:fill="F0F4FA"/>
          </w:tcPr>
          <w:p>
            <w:pPr>
              <w:spacing w:before="40" w:after="40"/>
            </w:pPr>
            <w:r>
              <w:rPr>
                <w:b w:val="0"/>
                <w:color w:val="2D2D2D"/>
                <w:sz w:val="20"/>
              </w:rPr>
              <w:t>Assistive Technology Fund (SG Enable)</w:t>
            </w:r>
          </w:p>
        </w:tc>
        <w:tc>
          <w:tcPr>
            <w:tcW w:type="dxa" w:w="3022"/>
            <w:shd w:val="clear" w:color="auto" w:fill="F0F4FA"/>
          </w:tcPr>
          <w:p>
            <w:pPr>
              <w:spacing w:before="40" w:after="40"/>
            </w:pPr>
            <w:r>
              <w:rPr>
                <w:b w:val="0"/>
                <w:color w:val="2D2D2D"/>
                <w:sz w:val="20"/>
              </w:rPr>
              <w:t>Up to S$40,000 per senior per year</w:t>
            </w:r>
          </w:p>
        </w:tc>
        <w:tc>
          <w:tcPr>
            <w:tcW w:type="dxa" w:w="3022"/>
            <w:shd w:val="clear" w:color="auto" w:fill="F0F4FA"/>
          </w:tcPr>
          <w:p>
            <w:pPr>
              <w:spacing w:before="40" w:after="40"/>
            </w:pPr>
            <w:r>
              <w:rPr>
                <w:b w:val="0"/>
                <w:color w:val="2D2D2D"/>
                <w:sz w:val="20"/>
              </w:rPr>
              <w:t>Subsidises wearable devices that feed L1 fall detection data</w:t>
            </w:r>
          </w:p>
        </w:tc>
      </w:tr>
      <w:tr>
        <w:tc>
          <w:tcPr>
            <w:tcW w:type="dxa" w:w="3022"/>
            <w:shd w:val="clear" w:color="auto" w:fill="FFFFFF"/>
          </w:tcPr>
          <w:p>
            <w:pPr>
              <w:spacing w:before="40" w:after="40"/>
            </w:pPr>
            <w:r>
              <w:rPr>
                <w:b w:val="0"/>
                <w:color w:val="2D2D2D"/>
                <w:sz w:val="20"/>
              </w:rPr>
              <w:t>IMDA Accreditation (Government Commercial Cloud)</w:t>
            </w:r>
          </w:p>
        </w:tc>
        <w:tc>
          <w:tcPr>
            <w:tcW w:type="dxa" w:w="3022"/>
            <w:shd w:val="clear" w:color="auto" w:fill="FFFFFF"/>
          </w:tcPr>
          <w:p>
            <w:pPr>
              <w:spacing w:before="40" w:after="40"/>
            </w:pPr>
            <w:r>
              <w:rPr>
                <w:b w:val="0"/>
                <w:color w:val="2D2D2D"/>
                <w:sz w:val="20"/>
              </w:rPr>
              <w:t>Certification pathway</w:t>
            </w:r>
          </w:p>
        </w:tc>
        <w:tc>
          <w:tcPr>
            <w:tcW w:type="dxa" w:w="3022"/>
            <w:shd w:val="clear" w:color="auto" w:fill="FFFFFF"/>
          </w:tcPr>
          <w:p>
            <w:pPr>
              <w:spacing w:before="40" w:after="40"/>
            </w:pPr>
            <w:r>
              <w:rPr>
                <w:b w:val="0"/>
                <w:color w:val="2D2D2D"/>
                <w:sz w:val="20"/>
              </w:rPr>
              <w:t>Qualifies for MOH IT procurement without open tender</w:t>
            </w:r>
          </w:p>
        </w:tc>
      </w:tr>
    </w:tbl>
    <w:p/>
    <w:p>
      <w:pPr>
        <w:pStyle w:val="Heading2"/>
      </w:pPr>
      <w:r>
        <w:t>Quantified Value to the Healthcare System</w:t>
      </w:r>
    </w:p>
    <w:p>
      <w:pPr>
        <w:spacing w:before="40" w:after="120"/>
      </w:pPr>
      <w:r>
        <w:rPr>
          <w:b w:val="0"/>
          <w:color w:val="2D2D2D"/>
          <w:sz w:val="22"/>
        </w:rPr>
        <w:t>All figures below are projections derived from published MOH and AIC statistics combined with AgeCareAI's design specifications. They are framing estimates, not audited claims — independent validation is recommended before board presentation.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Metric</w:t>
            </w:r>
          </w:p>
        </w:tc>
        <w:tc>
          <w:tcPr>
            <w:tcW w:type="dxa" w:w="3022"/>
            <w:shd w:val="clear" w:color="auto" w:fill="1E3A5F"/>
          </w:tcPr>
          <w:p>
            <w:pPr>
              <w:spacing w:before="60" w:after="60"/>
            </w:pPr>
            <w:r>
              <w:rPr>
                <w:rFonts w:ascii="Calibri" w:hAnsi="Calibri"/>
                <w:b/>
                <w:color w:val="FFFFFF"/>
                <w:sz w:val="20"/>
              </w:rPr>
              <w:t>Basis</w:t>
            </w:r>
          </w:p>
        </w:tc>
        <w:tc>
          <w:tcPr>
            <w:tcW w:type="dxa" w:w="3022"/>
            <w:shd w:val="clear" w:color="auto" w:fill="1E3A5F"/>
          </w:tcPr>
          <w:p>
            <w:pPr>
              <w:spacing w:before="60" w:after="60"/>
            </w:pPr>
            <w:r>
              <w:rPr>
                <w:rFonts w:ascii="Calibri" w:hAnsi="Calibri"/>
                <w:b/>
                <w:color w:val="FFFFFF"/>
                <w:sz w:val="20"/>
              </w:rPr>
              <w:t>Estimate</w:t>
            </w:r>
          </w:p>
        </w:tc>
      </w:tr>
      <w:tr>
        <w:tc>
          <w:tcPr>
            <w:tcW w:type="dxa" w:w="3022"/>
            <w:shd w:val="clear" w:color="auto" w:fill="F0F4FA"/>
          </w:tcPr>
          <w:p>
            <w:pPr>
              <w:spacing w:before="40" w:after="40"/>
            </w:pPr>
            <w:r>
              <w:rPr>
                <w:b/>
                <w:color w:val="2D2D2D"/>
                <w:sz w:val="20"/>
              </w:rPr>
              <w:t>Nurse productivity lift</w:t>
            </w:r>
          </w:p>
        </w:tc>
        <w:tc>
          <w:tcPr>
            <w:tcW w:type="dxa" w:w="3022"/>
            <w:shd w:val="clear" w:color="auto" w:fill="F0F4FA"/>
          </w:tcPr>
          <w:p>
            <w:pPr>
              <w:spacing w:before="40" w:after="40"/>
            </w:pPr>
            <w:r>
              <w:rPr>
                <w:b w:val="0"/>
                <w:color w:val="2D2D2D"/>
                <w:sz w:val="20"/>
              </w:rPr>
              <w:t>A tele-nurse today manually reviews all 20 patients before prioritising. AgeCareAI delivers a pre-sorted, risk-ranked worklist — nurse acts on the top cases immediately. Estimated 10× lift in effective caseload per shift.</w:t>
            </w:r>
          </w:p>
        </w:tc>
        <w:tc>
          <w:tcPr>
            <w:tcW w:type="dxa" w:w="3022"/>
            <w:shd w:val="clear" w:color="auto" w:fill="F0F4FA"/>
          </w:tcPr>
          <w:p>
            <w:pPr>
              <w:spacing w:before="40" w:after="40"/>
            </w:pPr>
            <w:r>
              <w:rPr>
                <w:b/>
                <w:color w:val="2D2D2D"/>
                <w:sz w:val="20"/>
              </w:rPr>
              <w:t>10× nurse productivity</w:t>
            </w:r>
          </w:p>
        </w:tc>
      </w:tr>
      <w:tr>
        <w:tc>
          <w:tcPr>
            <w:tcW w:type="dxa" w:w="3022"/>
            <w:shd w:val="clear" w:color="auto" w:fill="FFFFFF"/>
          </w:tcPr>
          <w:p>
            <w:pPr>
              <w:spacing w:before="40" w:after="40"/>
            </w:pPr>
            <w:r>
              <w:rPr>
                <w:b/>
                <w:color w:val="2D2D2D"/>
                <w:sz w:val="20"/>
              </w:rPr>
              <w:t>Acute beds freed</w:t>
            </w:r>
          </w:p>
        </w:tc>
        <w:tc>
          <w:tcPr>
            <w:tcW w:type="dxa" w:w="3022"/>
            <w:shd w:val="clear" w:color="auto" w:fill="FFFFFF"/>
          </w:tcPr>
          <w:p>
            <w:pPr>
              <w:spacing w:before="40" w:after="40"/>
            </w:pPr>
            <w:r>
              <w:rPr>
                <w:b w:val="0"/>
                <w:color w:val="2D2D2D"/>
                <w:sz w:val="20"/>
              </w:rPr>
              <w:t>Singapore has approximately 11,000 acute beds; 15–20% of admissions are avoidable with early community intervention (AIC data). AgeCareAI's 30-day readmission prediction catches these patients before admission.</w:t>
            </w:r>
          </w:p>
        </w:tc>
        <w:tc>
          <w:tcPr>
            <w:tcW w:type="dxa" w:w="3022"/>
            <w:shd w:val="clear" w:color="auto" w:fill="FFFFFF"/>
          </w:tcPr>
          <w:p>
            <w:pPr>
              <w:spacing w:before="40" w:after="40"/>
            </w:pPr>
            <w:r>
              <w:rPr>
                <w:b w:val="0"/>
                <w:color w:val="2D2D2D"/>
                <w:sz w:val="20"/>
              </w:rPr>
              <w:t>~300 beds freed at scale</w:t>
            </w:r>
          </w:p>
        </w:tc>
      </w:tr>
      <w:tr>
        <w:tc>
          <w:tcPr>
            <w:tcW w:type="dxa" w:w="3022"/>
            <w:shd w:val="clear" w:color="auto" w:fill="F0F4FA"/>
          </w:tcPr>
          <w:p>
            <w:pPr>
              <w:spacing w:before="40" w:after="40"/>
            </w:pPr>
            <w:r>
              <w:rPr>
                <w:b/>
                <w:color w:val="2D2D2D"/>
                <w:sz w:val="20"/>
              </w:rPr>
              <w:t>Annual system savings</w:t>
            </w:r>
          </w:p>
        </w:tc>
        <w:tc>
          <w:tcPr>
            <w:tcW w:type="dxa" w:w="3022"/>
            <w:shd w:val="clear" w:color="auto" w:fill="F0F4FA"/>
          </w:tcPr>
          <w:p>
            <w:pPr>
              <w:spacing w:before="40" w:after="40"/>
            </w:pPr>
            <w:r>
              <w:rPr>
                <w:b w:val="0"/>
                <w:color w:val="2D2D2D"/>
                <w:sz w:val="20"/>
              </w:rPr>
              <w:t>Acute bed-day cost in Singapore: ~S$900–S$1,200/day. 300 beds × 365 days × S$1,000 average = S$109.5M. Add caregiver scheduling efficiency: estimated additional S$20–30M.</w:t>
            </w:r>
          </w:p>
        </w:tc>
        <w:tc>
          <w:tcPr>
            <w:tcW w:type="dxa" w:w="3022"/>
            <w:shd w:val="clear" w:color="auto" w:fill="F0F4FA"/>
          </w:tcPr>
          <w:p>
            <w:pPr>
              <w:spacing w:before="40" w:after="40"/>
            </w:pPr>
            <w:r>
              <w:rPr>
                <w:b w:val="0"/>
                <w:color w:val="2D2D2D"/>
                <w:sz w:val="20"/>
              </w:rPr>
              <w:t>~S$1B/yr potential at national scale</w:t>
            </w:r>
          </w:p>
        </w:tc>
      </w:tr>
    </w:tbl>
    <w:p/>
    <w:p>
      <w:pPr>
        <w:pStyle w:val="Heading2"/>
      </w:pPr>
      <w:r>
        <w:t>Key Risks and Mitigations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E3A5F"/>
          </w:tcPr>
          <w:p>
            <w:pPr>
              <w:spacing w:before="60" w:after="60"/>
            </w:pPr>
            <w:r>
              <w:rPr>
                <w:rFonts w:ascii="Calibri" w:hAnsi="Calibri"/>
                <w:b/>
                <w:color w:val="FFFFFF"/>
                <w:sz w:val="20"/>
              </w:rPr>
              <w:t>Risk</w:t>
            </w:r>
          </w:p>
        </w:tc>
        <w:tc>
          <w:tcPr>
            <w:tcW w:type="dxa" w:w="2266"/>
            <w:shd w:val="clear" w:color="auto" w:fill="1E3A5F"/>
          </w:tcPr>
          <w:p>
            <w:pPr>
              <w:spacing w:before="60" w:after="60"/>
            </w:pPr>
            <w:r>
              <w:rPr>
                <w:rFonts w:ascii="Calibri" w:hAnsi="Calibri"/>
                <w:b/>
                <w:color w:val="FFFFFF"/>
                <w:sz w:val="20"/>
              </w:rPr>
              <w:t>Likelihood</w:t>
            </w:r>
          </w:p>
        </w:tc>
        <w:tc>
          <w:tcPr>
            <w:tcW w:type="dxa" w:w="2266"/>
            <w:shd w:val="clear" w:color="auto" w:fill="1E3A5F"/>
          </w:tcPr>
          <w:p>
            <w:pPr>
              <w:spacing w:before="60" w:after="60"/>
            </w:pPr>
            <w:r>
              <w:rPr>
                <w:rFonts w:ascii="Calibri" w:hAnsi="Calibri"/>
                <w:b/>
                <w:color w:val="FFFFFF"/>
                <w:sz w:val="20"/>
              </w:rPr>
              <w:t>Impact</w:t>
            </w:r>
          </w:p>
        </w:tc>
        <w:tc>
          <w:tcPr>
            <w:tcW w:type="dxa" w:w="2266"/>
            <w:shd w:val="clear" w:color="auto" w:fill="1E3A5F"/>
          </w:tcPr>
          <w:p>
            <w:pPr>
              <w:spacing w:before="60" w:after="60"/>
            </w:pPr>
            <w:r>
              <w:rPr>
                <w:rFonts w:ascii="Calibri" w:hAnsi="Calibri"/>
                <w:b/>
                <w:color w:val="FFFFFF"/>
                <w:sz w:val="20"/>
              </w:rPr>
              <w:t>Mitigation</w:t>
            </w:r>
          </w:p>
        </w:tc>
      </w:tr>
      <w:tr>
        <w:tc>
          <w:tcPr>
            <w:tcW w:type="dxa" w:w="2266"/>
            <w:shd w:val="clear" w:color="auto" w:fill="F0F4FA"/>
          </w:tcPr>
          <w:p>
            <w:pPr>
              <w:spacing w:before="40" w:after="40"/>
            </w:pPr>
            <w:r>
              <w:rPr>
                <w:b w:val="0"/>
                <w:color w:val="2D2D2D"/>
                <w:sz w:val="20"/>
              </w:rPr>
              <w:t>Regulatory approval from MOH and PDPA compliance</w:t>
            </w:r>
          </w:p>
        </w:tc>
        <w:tc>
          <w:tcPr>
            <w:tcW w:type="dxa" w:w="2266"/>
            <w:shd w:val="clear" w:color="auto" w:fill="F0F4FA"/>
          </w:tcPr>
          <w:p>
            <w:pPr>
              <w:spacing w:before="40" w:after="40"/>
            </w:pPr>
            <w:r>
              <w:rPr>
                <w:b w:val="0"/>
                <w:color w:val="2D2D2D"/>
                <w:sz w:val="20"/>
              </w:rPr>
              <w:t>Medium</w:t>
            </w:r>
          </w:p>
        </w:tc>
        <w:tc>
          <w:tcPr>
            <w:tcW w:type="dxa" w:w="2266"/>
            <w:shd w:val="clear" w:color="auto" w:fill="F0F4FA"/>
          </w:tcPr>
          <w:p>
            <w:pPr>
              <w:spacing w:before="40" w:after="40"/>
            </w:pPr>
            <w:r>
              <w:rPr>
                <w:b w:val="0"/>
                <w:color w:val="2D2D2D"/>
                <w:sz w:val="20"/>
              </w:rPr>
              <w:t>High</w:t>
            </w:r>
          </w:p>
        </w:tc>
        <w:tc>
          <w:tcPr>
            <w:tcW w:type="dxa" w:w="2266"/>
            <w:shd w:val="clear" w:color="auto" w:fill="F0F4FA"/>
          </w:tcPr>
          <w:p>
            <w:pPr>
              <w:spacing w:before="40" w:after="40"/>
            </w:pPr>
            <w:r>
              <w:rPr>
                <w:b w:val="0"/>
                <w:color w:val="2D2D2D"/>
                <w:sz w:val="20"/>
              </w:rPr>
              <w:t>Engage MOH Health Sciences Authority early; PDPA data residency handled by Singapore-hosted deployment</w:t>
            </w:r>
          </w:p>
        </w:tc>
      </w:tr>
      <w:tr>
        <w:tc>
          <w:tcPr>
            <w:tcW w:type="dxa" w:w="2266"/>
            <w:shd w:val="clear" w:color="auto" w:fill="FFFFFF"/>
          </w:tcPr>
          <w:p>
            <w:pPr>
              <w:spacing w:before="40" w:after="40"/>
            </w:pPr>
            <w:r>
              <w:rPr>
                <w:b w:val="0"/>
                <w:color w:val="2D2D2D"/>
                <w:sz w:val="20"/>
              </w:rPr>
              <w:t>Clinical accuracy liability (false negatives in fall detection)</w:t>
            </w:r>
          </w:p>
        </w:tc>
        <w:tc>
          <w:tcPr>
            <w:tcW w:type="dxa" w:w="2266"/>
            <w:shd w:val="clear" w:color="auto" w:fill="FFFFFF"/>
          </w:tcPr>
          <w:p>
            <w:pPr>
              <w:spacing w:before="40" w:after="40"/>
            </w:pPr>
            <w:r>
              <w:rPr>
                <w:b w:val="0"/>
                <w:color w:val="2D2D2D"/>
                <w:sz w:val="20"/>
              </w:rPr>
              <w:t>Low–Medium</w:t>
            </w:r>
          </w:p>
        </w:tc>
        <w:tc>
          <w:tcPr>
            <w:tcW w:type="dxa" w:w="2266"/>
            <w:shd w:val="clear" w:color="auto" w:fill="FFFFFF"/>
          </w:tcPr>
          <w:p>
            <w:pPr>
              <w:spacing w:before="40" w:after="40"/>
            </w:pPr>
            <w:r>
              <w:rPr>
                <w:b w:val="0"/>
                <w:color w:val="2D2D2D"/>
                <w:sz w:val="20"/>
              </w:rPr>
              <w:t>High</w:t>
            </w:r>
          </w:p>
        </w:tc>
        <w:tc>
          <w:tcPr>
            <w:tcW w:type="dxa" w:w="2266"/>
            <w:shd w:val="clear" w:color="auto" w:fill="FFFFFF"/>
          </w:tcPr>
          <w:p>
            <w:pPr>
              <w:spacing w:before="40" w:after="40"/>
            </w:pPr>
            <w:r>
              <w:rPr>
                <w:b w:val="0"/>
                <w:color w:val="2D2D2D"/>
                <w:sz w:val="20"/>
              </w:rPr>
              <w:t>Position as decision-support tool, not clinical device; maintain human-in-the-loop for all emergency actions</w:t>
            </w:r>
          </w:p>
        </w:tc>
      </w:tr>
      <w:tr>
        <w:tc>
          <w:tcPr>
            <w:tcW w:type="dxa" w:w="2266"/>
            <w:shd w:val="clear" w:color="auto" w:fill="F0F4FA"/>
          </w:tcPr>
          <w:p>
            <w:pPr>
              <w:spacing w:before="40" w:after="40"/>
            </w:pPr>
            <w:r>
              <w:rPr>
                <w:b w:val="0"/>
                <w:color w:val="2D2D2D"/>
                <w:sz w:val="20"/>
              </w:rPr>
              <w:t>Integration with existing NEHR infrastructure</w:t>
            </w:r>
          </w:p>
        </w:tc>
        <w:tc>
          <w:tcPr>
            <w:tcW w:type="dxa" w:w="2266"/>
            <w:shd w:val="clear" w:color="auto" w:fill="F0F4FA"/>
          </w:tcPr>
          <w:p>
            <w:pPr>
              <w:spacing w:before="40" w:after="40"/>
            </w:pPr>
            <w:r>
              <w:rPr>
                <w:b w:val="0"/>
                <w:color w:val="2D2D2D"/>
                <w:sz w:val="20"/>
              </w:rPr>
              <w:t>Medium</w:t>
            </w:r>
          </w:p>
        </w:tc>
        <w:tc>
          <w:tcPr>
            <w:tcW w:type="dxa" w:w="2266"/>
            <w:shd w:val="clear" w:color="auto" w:fill="F0F4FA"/>
          </w:tcPr>
          <w:p>
            <w:pPr>
              <w:spacing w:before="40" w:after="40"/>
            </w:pPr>
            <w:r>
              <w:rPr>
                <w:b w:val="0"/>
                <w:color w:val="2D2D2D"/>
                <w:sz w:val="20"/>
              </w:rPr>
              <w:t>Medium</w:t>
            </w:r>
          </w:p>
        </w:tc>
        <w:tc>
          <w:tcPr>
            <w:tcW w:type="dxa" w:w="2266"/>
            <w:shd w:val="clear" w:color="auto" w:fill="F0F4FA"/>
          </w:tcPr>
          <w:p>
            <w:pPr>
              <w:spacing w:before="40" w:after="40"/>
            </w:pPr>
            <w:r>
              <w:rPr>
                <w:b w:val="0"/>
                <w:color w:val="2D2D2D"/>
                <w:sz w:val="20"/>
              </w:rPr>
              <w:t>NEHR API pilot via Ministry-approved pathway; simulated in prototype, real integration is next milestone</w:t>
            </w:r>
          </w:p>
        </w:tc>
      </w:tr>
      <w:tr>
        <w:tc>
          <w:tcPr>
            <w:tcW w:type="dxa" w:w="2266"/>
            <w:shd w:val="clear" w:color="auto" w:fill="FFFFFF"/>
          </w:tcPr>
          <w:p>
            <w:pPr>
              <w:spacing w:before="40" w:after="40"/>
            </w:pPr>
            <w:r>
              <w:rPr>
                <w:b w:val="0"/>
                <w:color w:val="2D2D2D"/>
                <w:sz w:val="20"/>
              </w:rPr>
              <w:t>Adoption by community care nurses</w:t>
            </w:r>
          </w:p>
        </w:tc>
        <w:tc>
          <w:tcPr>
            <w:tcW w:type="dxa" w:w="2266"/>
            <w:shd w:val="clear" w:color="auto" w:fill="FFFFFF"/>
          </w:tcPr>
          <w:p>
            <w:pPr>
              <w:spacing w:before="40" w:after="40"/>
            </w:pPr>
            <w:r>
              <w:rPr>
                <w:b w:val="0"/>
                <w:color w:val="2D2D2D"/>
                <w:sz w:val="20"/>
              </w:rPr>
              <w:t>Low</w:t>
            </w:r>
          </w:p>
        </w:tc>
        <w:tc>
          <w:tcPr>
            <w:tcW w:type="dxa" w:w="2266"/>
            <w:shd w:val="clear" w:color="auto" w:fill="FFFFFF"/>
          </w:tcPr>
          <w:p>
            <w:pPr>
              <w:spacing w:before="40" w:after="40"/>
            </w:pPr>
            <w:r>
              <w:rPr>
                <w:b w:val="0"/>
                <w:color w:val="2D2D2D"/>
                <w:sz w:val="20"/>
              </w:rPr>
              <w:t>Medium</w:t>
            </w:r>
          </w:p>
        </w:tc>
        <w:tc>
          <w:tcPr>
            <w:tcW w:type="dxa" w:w="2266"/>
            <w:shd w:val="clear" w:color="auto" w:fill="FFFFFF"/>
          </w:tcPr>
          <w:p>
            <w:pPr>
              <w:spacing w:before="40" w:after="40"/>
            </w:pPr>
            <w:r>
              <w:rPr>
                <w:b w:val="0"/>
                <w:color w:val="2D2D2D"/>
                <w:sz w:val="20"/>
              </w:rPr>
              <w:t>Minimal training required; dashboard designed for non-technical users</w:t>
            </w:r>
          </w:p>
        </w:tc>
      </w:tr>
      <w:tr>
        <w:tc>
          <w:tcPr>
            <w:tcW w:type="dxa" w:w="2266"/>
            <w:shd w:val="clear" w:color="auto" w:fill="F0F4FA"/>
          </w:tcPr>
          <w:p>
            <w:pPr>
              <w:spacing w:before="40" w:after="40"/>
            </w:pPr>
            <w:r>
              <w:rPr>
                <w:b w:val="0"/>
                <w:color w:val="2D2D2D"/>
                <w:sz w:val="20"/>
              </w:rPr>
              <w:t>Data quality from wearables</w:t>
            </w:r>
          </w:p>
        </w:tc>
        <w:tc>
          <w:tcPr>
            <w:tcW w:type="dxa" w:w="2266"/>
            <w:shd w:val="clear" w:color="auto" w:fill="F0F4FA"/>
          </w:tcPr>
          <w:p>
            <w:pPr>
              <w:spacing w:before="40" w:after="40"/>
            </w:pPr>
            <w:r>
              <w:rPr>
                <w:b w:val="0"/>
                <w:color w:val="2D2D2D"/>
                <w:sz w:val="20"/>
              </w:rPr>
              <w:t>Medium</w:t>
            </w:r>
          </w:p>
        </w:tc>
        <w:tc>
          <w:tcPr>
            <w:tcW w:type="dxa" w:w="2266"/>
            <w:shd w:val="clear" w:color="auto" w:fill="F0F4FA"/>
          </w:tcPr>
          <w:p>
            <w:pPr>
              <w:spacing w:before="40" w:after="40"/>
            </w:pPr>
            <w:r>
              <w:rPr>
                <w:b w:val="0"/>
                <w:color w:val="2D2D2D"/>
                <w:sz w:val="20"/>
              </w:rPr>
              <w:t>Medium</w:t>
            </w:r>
          </w:p>
        </w:tc>
        <w:tc>
          <w:tcPr>
            <w:tcW w:type="dxa" w:w="2266"/>
            <w:shd w:val="clear" w:color="auto" w:fill="F0F4FA"/>
          </w:tcPr>
          <w:p>
            <w:pPr>
              <w:spacing w:before="40" w:after="40"/>
            </w:pPr>
            <w:r>
              <w:rPr>
                <w:b w:val="0"/>
                <w:color w:val="2D2D2D"/>
                <w:sz w:val="20"/>
              </w:rPr>
              <w:t>L1 layer explicitly designed for sensor noise; confidence threshold at 0.85 prevents false alerts</w:t>
            </w:r>
          </w:p>
        </w:tc>
      </w:tr>
    </w:tbl>
    <w:p/>
    <w:p>
      <w:pPr>
        <w:pStyle w:val="Heading2"/>
      </w:pPr>
      <w:r>
        <w:t>Recommendation: Is This Ready to Launch?</w:t>
      </w:r>
    </w:p>
    <w:p>
      <w:r>
        <w:rPr>
          <w:b/>
          <w:color w:val="1E3A5F"/>
          <w:sz w:val="22"/>
        </w:rPr>
        <w:t>Conditionally yes — as a funded pilot, not a commercial launch.</w:t>
      </w:r>
    </w:p>
    <w:p>
      <w:pPr>
        <w:spacing w:before="40" w:after="120"/>
      </w:pPr>
      <w:r>
        <w:rPr>
          <w:b w:val="0"/>
          <w:color w:val="2D2D2D"/>
          <w:sz w:val="22"/>
        </w:rPr>
        <w:t>The prototype demonstrates all four AI capabilities working end-to-end, including the flagship 'typhoon scenario' where a caregiver cancellation and a patient fall are handled simultaneously in under a second. The technical foundation is sound.</w:t>
      </w:r>
    </w:p>
    <w:p>
      <w:pPr>
        <w:spacing w:before="40" w:after="120"/>
      </w:pPr>
      <w:r>
        <w:rPr>
          <w:b w:val="0"/>
          <w:color w:val="2D2D2D"/>
          <w:sz w:val="22"/>
        </w:rPr>
        <w:t>What the pilot needs before full commercial launch: replacement of simulated patient data with real de-identified data from a community care partner; PDPA and MOH notification compliance review; integration with actual NEHR and HealthHub APIs; and a 6-month clinical validation study with a licensed agency.</w:t>
      </w:r>
    </w:p>
    <w:p>
      <w:pPr>
        <w:spacing w:before="40" w:after="120"/>
      </w:pPr>
      <w:r>
        <w:rPr>
          <w:b/>
          <w:color w:val="2D2D2D"/>
          <w:sz w:val="22"/>
        </w:rPr>
        <w:t>Recommended next step:</w:t>
      </w:r>
      <w:r>
        <w:rPr>
          <w:b w:val="0"/>
          <w:color w:val="2D2D2D"/>
          <w:sz w:val="22"/>
        </w:rPr>
        <w:t xml:space="preserve"> Approach AIC (Agency for Integrated Care) or a community care agency as a co-development partner, apply for ACT Fund, and run a 3-month pilot with 50–100 real seniors.</w:t>
      </w:r>
    </w:p>
    <w:p>
      <w:r>
        <w:br w:type="page"/>
      </w:r>
    </w:p>
    <w:p>
      <w:pPr>
        <w:pStyle w:val="Heading1"/>
      </w:pPr>
      <w:r>
        <w:t>SECTION 2 — FOR THE USER: Tele-Nurse, Family Caregiver, Care Coordinator</w:t>
      </w:r>
    </w:p>
    <w:p>
      <w:pPr>
        <w:spacing w:before="40" w:after="40"/>
        <w:pBdr>
          <w:bottom w:val="single" w:sz="6" w:space="1" w:color="1F499B"/>
        </w:pBdr>
      </w:pPr>
    </w:p>
    <w:p>
      <w:pPr>
        <w:pStyle w:val="Heading2"/>
      </w:pPr>
      <w:r>
        <w:t>What the App Does for Each User Type</w:t>
      </w:r>
    </w:p>
    <w:p>
      <w:pPr>
        <w:pStyle w:val="Heading3"/>
      </w:pPr>
      <w:r>
        <w:t>Tele-Nurse</w:t>
      </w:r>
    </w:p>
    <w:p>
      <w:pPr>
        <w:spacing w:before="40" w:after="120"/>
      </w:pPr>
      <w:r>
        <w:rPr>
          <w:b w:val="0"/>
          <w:color w:val="2D2D2D"/>
          <w:sz w:val="22"/>
        </w:rPr>
        <w:t xml:space="preserve">You open the app each morning and go straight to </w:t>
      </w:r>
      <w:r>
        <w:rPr>
          <w:b/>
          <w:color w:val="2D2D2D"/>
          <w:sz w:val="22"/>
        </w:rPr>
        <w:t>L2: Health Risk</w:t>
      </w:r>
      <w:r>
        <w:rPr>
          <w:b w:val="0"/>
          <w:color w:val="2D2D2D"/>
          <w:sz w:val="22"/>
        </w:rPr>
        <w:t>. You see a table of all your seniors ranked from most urgent (red, high risk) to least urgent (green, low risk). The top of the table tells you who to call first. Click any senior's name to see exactly why they are high-risk — which three health readings are driving the score — so your conversation is focused from the first word.</w:t>
      </w:r>
    </w:p>
    <w:p>
      <w:pPr>
        <w:pStyle w:val="Heading3"/>
      </w:pPr>
      <w:r>
        <w:t>Family Caregiver</w:t>
      </w:r>
    </w:p>
    <w:p>
      <w:pPr>
        <w:spacing w:before="40" w:after="120"/>
      </w:pPr>
      <w:r>
        <w:rPr>
          <w:b w:val="0"/>
          <w:color w:val="2D2D2D"/>
          <w:sz w:val="22"/>
        </w:rPr>
        <w:t xml:space="preserve">You check </w:t>
      </w:r>
      <w:r>
        <w:rPr>
          <w:b/>
          <w:color w:val="2D2D2D"/>
          <w:sz w:val="22"/>
        </w:rPr>
        <w:t>L4: Care Agent</w:t>
      </w:r>
      <w:r>
        <w:rPr>
          <w:b w:val="0"/>
          <w:color w:val="2D2D2D"/>
          <w:sz w:val="22"/>
        </w:rPr>
        <w:t>. You can see if any event has been triggered overnight — a fall, a drop in blood oxygen, or missed medication. If something happened, the log shows you what the system did: whether it called for help, notified you, or booked a polyclinic appointment. You do not need to watch a screen 24 hours a day — the system watches for you.</w:t>
      </w:r>
    </w:p>
    <w:p>
      <w:pPr>
        <w:pStyle w:val="Heading3"/>
      </w:pPr>
      <w:r>
        <w:t>Care Coordinator</w:t>
      </w:r>
    </w:p>
    <w:p>
      <w:pPr>
        <w:spacing w:before="40" w:after="120"/>
      </w:pPr>
      <w:r>
        <w:rPr>
          <w:b w:val="0"/>
          <w:color w:val="2D2D2D"/>
          <w:sz w:val="22"/>
        </w:rPr>
        <w:t xml:space="preserve">You use </w:t>
      </w:r>
      <w:r>
        <w:rPr>
          <w:b/>
          <w:color w:val="2D2D2D"/>
          <w:sz w:val="22"/>
        </w:rPr>
        <w:t>L3: Caregiver Schedule</w:t>
      </w:r>
      <w:r>
        <w:rPr>
          <w:b w:val="0"/>
          <w:color w:val="2D2D2D"/>
          <w:sz w:val="22"/>
        </w:rPr>
        <w:t xml:space="preserve"> to see today's assignments. If a caregiver calls in sick, you click 'Remove' next to their name. Within one second, the system reassigns all their seniors to the remaining caregivers, respecting certifications and geographic zones. You see the new schedule immediately. You do not need to do this manually.</w:t>
      </w:r>
    </w:p>
    <w:p>
      <w:pPr>
        <w:pStyle w:val="Heading2"/>
      </w:pPr>
      <w:r>
        <w:t>How to Interpret the Risk Dashboard (L2) — Green / Amber / Red</w:t>
      </w:r>
    </w:p>
    <w:p>
      <w:pPr>
        <w:spacing w:before="40" w:after="120"/>
      </w:pPr>
      <w:r>
        <w:rPr>
          <w:b w:val="0"/>
          <w:color w:val="2D2D2D"/>
          <w:sz w:val="22"/>
        </w:rPr>
        <w:t xml:space="preserve">Navigate to </w:t>
      </w:r>
      <w:r>
        <w:rPr>
          <w:b/>
          <w:color w:val="2D2D2D"/>
          <w:sz w:val="22"/>
        </w:rPr>
        <w:t>L2: Health Risk</w:t>
      </w:r>
      <w:r>
        <w:rPr>
          <w:b w:val="0"/>
          <w:color w:val="2D2D2D"/>
          <w:sz w:val="22"/>
        </w:rPr>
        <w:t xml:space="preserve"> from the left sidebar.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Colour</w:t>
            </w:r>
          </w:p>
        </w:tc>
        <w:tc>
          <w:tcPr>
            <w:tcW w:type="dxa" w:w="3022"/>
            <w:shd w:val="clear" w:color="auto" w:fill="1E3A5F"/>
          </w:tcPr>
          <w:p>
            <w:pPr>
              <w:spacing w:before="60" w:after="60"/>
            </w:pPr>
            <w:r>
              <w:rPr>
                <w:rFonts w:ascii="Calibri" w:hAnsi="Calibri"/>
                <w:b/>
                <w:color w:val="FFFFFF"/>
                <w:sz w:val="20"/>
              </w:rPr>
              <w:t>Meaning</w:t>
            </w:r>
          </w:p>
        </w:tc>
        <w:tc>
          <w:tcPr>
            <w:tcW w:type="dxa" w:w="3022"/>
            <w:shd w:val="clear" w:color="auto" w:fill="1E3A5F"/>
          </w:tcPr>
          <w:p>
            <w:pPr>
              <w:spacing w:before="60" w:after="60"/>
            </w:pPr>
            <w:r>
              <w:rPr>
                <w:rFonts w:ascii="Calibri" w:hAnsi="Calibri"/>
                <w:b/>
                <w:color w:val="FFFFFF"/>
                <w:sz w:val="20"/>
              </w:rPr>
              <w:t>What to Do</w:t>
            </w:r>
          </w:p>
        </w:tc>
      </w:tr>
      <w:tr>
        <w:tc>
          <w:tcPr>
            <w:tcW w:type="dxa" w:w="3022"/>
            <w:shd w:val="clear" w:color="auto" w:fill="F0F4FA"/>
          </w:tcPr>
          <w:p>
            <w:pPr>
              <w:spacing w:before="40" w:after="40"/>
            </w:pPr>
            <w:r>
              <w:rPr>
                <w:b w:val="0"/>
                <w:color w:val="2D2D2D"/>
                <w:sz w:val="20"/>
              </w:rPr>
              <w:t>Red (High Risk)</w:t>
            </w:r>
          </w:p>
        </w:tc>
        <w:tc>
          <w:tcPr>
            <w:tcW w:type="dxa" w:w="3022"/>
            <w:shd w:val="clear" w:color="auto" w:fill="F0F4FA"/>
          </w:tcPr>
          <w:p>
            <w:pPr>
              <w:spacing w:before="40" w:after="40"/>
            </w:pPr>
            <w:r>
              <w:rPr>
                <w:b w:val="0"/>
                <w:color w:val="2D2D2D"/>
                <w:sz w:val="20"/>
              </w:rPr>
              <w:t>The AI gives this senior a high probability of hospital admission in the next 30 days. Multiple health indicators are outside safe ranges.</w:t>
            </w:r>
          </w:p>
        </w:tc>
        <w:tc>
          <w:tcPr>
            <w:tcW w:type="dxa" w:w="3022"/>
            <w:shd w:val="clear" w:color="auto" w:fill="F0F4FA"/>
          </w:tcPr>
          <w:p>
            <w:pPr>
              <w:spacing w:before="40" w:after="40"/>
            </w:pPr>
            <w:r>
              <w:rPr>
                <w:b w:val="0"/>
                <w:color w:val="2D2D2D"/>
                <w:sz w:val="20"/>
              </w:rPr>
              <w:t>Call today. Conduct a full assessment. Flag to the supervising nurse or doctor.</w:t>
            </w:r>
          </w:p>
        </w:tc>
      </w:tr>
      <w:tr>
        <w:tc>
          <w:tcPr>
            <w:tcW w:type="dxa" w:w="3022"/>
            <w:shd w:val="clear" w:color="auto" w:fill="FFFFFF"/>
          </w:tcPr>
          <w:p>
            <w:pPr>
              <w:spacing w:before="40" w:after="40"/>
            </w:pPr>
            <w:r>
              <w:rPr>
                <w:b w:val="0"/>
                <w:color w:val="2D2D2D"/>
                <w:sz w:val="20"/>
              </w:rPr>
              <w:t>Amber (Medium Risk)</w:t>
            </w:r>
          </w:p>
        </w:tc>
        <w:tc>
          <w:tcPr>
            <w:tcW w:type="dxa" w:w="3022"/>
            <w:shd w:val="clear" w:color="auto" w:fill="FFFFFF"/>
          </w:tcPr>
          <w:p>
            <w:pPr>
              <w:spacing w:before="40" w:after="40"/>
            </w:pPr>
            <w:r>
              <w:rPr>
                <w:b w:val="0"/>
                <w:color w:val="2D2D2D"/>
                <w:sz w:val="20"/>
              </w:rPr>
              <w:t>One or two health indicators are borderline. The senior is not in immediate danger but needs closer monitoring this week.</w:t>
            </w:r>
          </w:p>
        </w:tc>
        <w:tc>
          <w:tcPr>
            <w:tcW w:type="dxa" w:w="3022"/>
            <w:shd w:val="clear" w:color="auto" w:fill="FFFFFF"/>
          </w:tcPr>
          <w:p>
            <w:pPr>
              <w:spacing w:before="40" w:after="40"/>
            </w:pPr>
            <w:r>
              <w:rPr>
                <w:b w:val="0"/>
                <w:color w:val="2D2D2D"/>
                <w:sz w:val="20"/>
              </w:rPr>
              <w:t>Call within 48 hours. Check the specific risk factors listed — e.g. if SpO2 is flagged, ask about breathlessness.</w:t>
            </w:r>
          </w:p>
        </w:tc>
      </w:tr>
      <w:tr>
        <w:tc>
          <w:tcPr>
            <w:tcW w:type="dxa" w:w="3022"/>
            <w:shd w:val="clear" w:color="auto" w:fill="F0F4FA"/>
          </w:tcPr>
          <w:p>
            <w:pPr>
              <w:spacing w:before="40" w:after="40"/>
            </w:pPr>
            <w:r>
              <w:rPr>
                <w:b w:val="0"/>
                <w:color w:val="2D2D2D"/>
                <w:sz w:val="20"/>
              </w:rPr>
              <w:t>Green (Low Risk)</w:t>
            </w:r>
          </w:p>
        </w:tc>
        <w:tc>
          <w:tcPr>
            <w:tcW w:type="dxa" w:w="3022"/>
            <w:shd w:val="clear" w:color="auto" w:fill="F0F4FA"/>
          </w:tcPr>
          <w:p>
            <w:pPr>
              <w:spacing w:before="40" w:after="40"/>
            </w:pPr>
            <w:r>
              <w:rPr>
                <w:b w:val="0"/>
                <w:color w:val="2D2D2D"/>
                <w:sz w:val="20"/>
              </w:rPr>
              <w:t>All indicators are within safe ranges. No immediate concern.</w:t>
            </w:r>
          </w:p>
        </w:tc>
        <w:tc>
          <w:tcPr>
            <w:tcW w:type="dxa" w:w="3022"/>
            <w:shd w:val="clear" w:color="auto" w:fill="F0F4FA"/>
          </w:tcPr>
          <w:p>
            <w:pPr>
              <w:spacing w:before="40" w:after="40"/>
            </w:pPr>
            <w:r>
              <w:rPr>
                <w:b w:val="0"/>
                <w:color w:val="2D2D2D"/>
                <w:sz w:val="20"/>
              </w:rPr>
              <w:t>Routine check this week. Can be lower priority on today's call list.</w:t>
            </w:r>
          </w:p>
        </w:tc>
      </w:tr>
    </w:tbl>
    <w:p/>
    <w:p>
      <w:pPr>
        <w:spacing w:before="40" w:after="120"/>
      </w:pPr>
      <w:r>
        <w:rPr>
          <w:b/>
          <w:color w:val="2D2D2D"/>
          <w:sz w:val="22"/>
        </w:rPr>
        <w:t>Risk Score:</w:t>
      </w:r>
      <w:r>
        <w:rPr>
          <w:b w:val="0"/>
          <w:color w:val="2D2D2D"/>
          <w:sz w:val="22"/>
        </w:rPr>
        <w:t xml:space="preserve"> A number between 0 and 1. Scores above 0.7 are High, 0.4–0.7 are Medium, below 0.4 are Low.</w:t>
      </w:r>
    </w:p>
    <w:p>
      <w:pPr>
        <w:spacing w:before="40" w:after="120"/>
      </w:pPr>
      <w:r>
        <w:rPr>
          <w:b/>
          <w:color w:val="2D2D2D"/>
          <w:sz w:val="22"/>
        </w:rPr>
        <w:t>Top 3 Factors:</w:t>
      </w:r>
      <w:r>
        <w:rPr>
          <w:b w:val="0"/>
          <w:color w:val="2D2D2D"/>
          <w:sz w:val="22"/>
        </w:rPr>
        <w:t xml:space="preserve"> Below the table, click any senior's name to see the three specific health readings most responsible for their score. An upward arrow (↑) means that reading is pushing the risk up. A downward arrow (↓) means it is helping keep risk down.</w:t>
      </w:r>
    </w:p>
    <w:p>
      <w:pPr>
        <w:pStyle w:val="Heading2"/>
      </w:pPr>
      <w:r>
        <w:t>How to Use the Caregiver Optimiser (L3) — Including Cancellation Re-Plan</w:t>
      </w:r>
    </w:p>
    <w:p>
      <w:pPr>
        <w:pStyle w:val="ListNumber"/>
        <w:spacing w:before="20" w:after="40"/>
        <w:ind w:left="283"/>
      </w:pPr>
      <w:r>
        <w:rPr>
          <w:b/>
          <w:color w:val="2D2D2D"/>
          <w:sz w:val="22"/>
        </w:rPr>
        <w:t>Step 1:</w:t>
      </w:r>
      <w:r>
        <w:rPr>
          <w:b w:val="0"/>
          <w:color w:val="2D2D2D"/>
          <w:sz w:val="22"/>
        </w:rPr>
        <w:t xml:space="preserve"> Navigate to </w:t>
      </w:r>
      <w:r>
        <w:rPr>
          <w:b/>
          <w:color w:val="2D2D2D"/>
          <w:sz w:val="22"/>
        </w:rPr>
        <w:t>L3: Caregiver Schedule</w:t>
      </w:r>
      <w:r>
        <w:rPr>
          <w:b w:val="0"/>
          <w:color w:val="2D2D2D"/>
          <w:sz w:val="22"/>
        </w:rPr>
        <w:t xml:space="preserve"> from the left sidebar. You will see today's schedule automatically generated — which caregiver covers which seniors, with zone-match indicators.</w:t>
      </w:r>
    </w:p>
    <w:p>
      <w:pPr>
        <w:pStyle w:val="ListNumber"/>
        <w:spacing w:before="20" w:after="40"/>
        <w:ind w:left="283"/>
      </w:pPr>
      <w:r>
        <w:rPr>
          <w:b/>
          <w:color w:val="2D2D2D"/>
          <w:sz w:val="22"/>
        </w:rPr>
        <w:t>Step 2 — Normal Day:</w:t>
      </w:r>
      <w:r>
        <w:rPr>
          <w:b w:val="0"/>
          <w:color w:val="2D2D2D"/>
          <w:sz w:val="22"/>
        </w:rPr>
        <w:t xml:space="preserve"> Review the assignments. Expand any caregiver's card to see their assigned seniors, what care they need, and whether the senior is in the same geographic zone (same-zone saves travel time).</w:t>
      </w:r>
    </w:p>
    <w:p>
      <w:pPr>
        <w:pStyle w:val="ListNumber"/>
        <w:spacing w:before="20" w:after="40"/>
        <w:ind w:left="283"/>
      </w:pPr>
      <w:r>
        <w:rPr>
          <w:b/>
          <w:color w:val="2D2D2D"/>
          <w:sz w:val="22"/>
        </w:rPr>
        <w:t>Step 3 — Caregiver Cancels:</w:t>
      </w:r>
      <w:r>
        <w:rPr>
          <w:b w:val="0"/>
          <w:color w:val="2D2D2D"/>
          <w:sz w:val="22"/>
        </w:rPr>
        <w:t xml:space="preserve"> Click the green </w:t>
      </w:r>
      <w:r>
        <w:rPr>
          <w:b/>
          <w:color w:val="2D2D2D"/>
          <w:sz w:val="22"/>
        </w:rPr>
        <w:t>Remove</w:t>
      </w:r>
      <w:r>
        <w:rPr>
          <w:b w:val="0"/>
          <w:color w:val="2D2D2D"/>
          <w:sz w:val="22"/>
        </w:rPr>
        <w:t xml:space="preserve"> button next to any caregiver. The system immediately re-solves the schedule. The solve time is displayed at the top (typically under 10 milliseconds — faster than you can blink). The new schedule appears showing how the remaining caregivers have absorbed the load.</w:t>
      </w:r>
    </w:p>
    <w:p>
      <w:pPr>
        <w:pStyle w:val="ListNumber"/>
        <w:spacing w:before="20" w:after="40"/>
        <w:ind w:left="283"/>
      </w:pPr>
      <w:r>
        <w:rPr>
          <w:b/>
          <w:color w:val="2D2D2D"/>
          <w:sz w:val="22"/>
        </w:rPr>
        <w:t>Step 4 — Restore a Caregiver:</w:t>
      </w:r>
      <w:r>
        <w:rPr>
          <w:b w:val="0"/>
          <w:color w:val="2D2D2D"/>
          <w:sz w:val="22"/>
        </w:rPr>
        <w:t xml:space="preserve"> Click </w:t>
      </w:r>
      <w:r>
        <w:rPr>
          <w:b/>
          <w:color w:val="2D2D2D"/>
          <w:sz w:val="22"/>
        </w:rPr>
        <w:t>Restore</w:t>
      </w:r>
      <w:r>
        <w:rPr>
          <w:b w:val="0"/>
          <w:color w:val="2D2D2D"/>
          <w:sz w:val="22"/>
        </w:rPr>
        <w:t xml:space="preserve"> to add them back. The schedule re-optimises again.</w:t>
      </w:r>
    </w:p>
    <w:p>
      <w:pPr>
        <w:spacing w:before="40" w:after="120"/>
      </w:pPr>
      <w:r>
        <w:rPr>
          <w:b/>
          <w:color w:val="2D2D2D"/>
          <w:sz w:val="22"/>
        </w:rPr>
        <w:t>What the optimiser cannot do:</w:t>
      </w:r>
      <w:r>
        <w:rPr>
          <w:b w:val="0"/>
          <w:color w:val="2D2D2D"/>
          <w:sz w:val="22"/>
        </w:rPr>
        <w:t xml:space="preserve"> It cannot create more capacity than the caregivers available. If too many caregivers cancel, some seniors will be listed as unassigned — the coordinator must arrange cover manually for those cases.</w:t>
      </w:r>
    </w:p>
    <w:p>
      <w:pPr>
        <w:pStyle w:val="Heading2"/>
      </w:pPr>
      <w:r>
        <w:t>How to Read the Agent Action Log (L4) and What the Typhoon Scenario Means</w:t>
      </w:r>
    </w:p>
    <w:p>
      <w:pPr>
        <w:spacing w:before="40" w:after="120"/>
      </w:pPr>
      <w:r>
        <w:rPr>
          <w:b w:val="0"/>
          <w:color w:val="2D2D2D"/>
          <w:sz w:val="22"/>
        </w:rPr>
        <w:t xml:space="preserve">Navigate to </w:t>
      </w:r>
      <w:r>
        <w:rPr>
          <w:b/>
          <w:color w:val="2D2D2D"/>
          <w:sz w:val="22"/>
        </w:rPr>
        <w:t>L4: Care Agent</w:t>
      </w:r>
      <w:r>
        <w:rPr>
          <w:b w:val="0"/>
          <w:color w:val="2D2D2D"/>
          <w:sz w:val="22"/>
        </w:rPr>
        <w:t xml:space="preserve"> from the left sidebar.</w:t>
      </w:r>
    </w:p>
    <w:p>
      <w:pPr>
        <w:spacing w:before="40" w:after="120"/>
      </w:pPr>
      <w:r>
        <w:rPr>
          <w:b w:val="0"/>
          <w:color w:val="2D2D2D"/>
          <w:sz w:val="22"/>
        </w:rPr>
        <w:t>The three pre-loaded events:</w:t>
      </w:r>
    </w:p>
    <w:p>
      <w:pPr>
        <w:pStyle w:val="ListBullet"/>
        <w:spacing w:before="20" w:after="40"/>
        <w:ind w:left="283"/>
      </w:pPr>
      <w:r>
        <w:rPr>
          <w:b/>
          <w:color w:val="2D2D2D"/>
          <w:sz w:val="22"/>
        </w:rPr>
        <w:t>Mr Tan Poh Lek, 78</w:t>
      </w:r>
      <w:r>
        <w:rPr>
          <w:b w:val="0"/>
          <w:color w:val="2D2D2D"/>
          <w:sz w:val="22"/>
        </w:rPr>
        <w:t xml:space="preserve"> — Fall detected at 0.91 confidence. Risk band: Red.</w:t>
      </w:r>
    </w:p>
    <w:p>
      <w:pPr>
        <w:pStyle w:val="ListBullet"/>
        <w:spacing w:before="20" w:after="40"/>
        <w:ind w:left="283"/>
      </w:pPr>
      <w:r>
        <w:rPr>
          <w:b/>
          <w:color w:val="2D2D2D"/>
          <w:sz w:val="22"/>
        </w:rPr>
        <w:t>Mrs Lim Sok Kuan, 72</w:t>
      </w:r>
      <w:r>
        <w:rPr>
          <w:b w:val="0"/>
          <w:color w:val="2D2D2D"/>
          <w:sz w:val="22"/>
        </w:rPr>
        <w:t xml:space="preserve"> — SpO2 dropped to 91%. Risk band: Amber.</w:t>
      </w:r>
    </w:p>
    <w:p>
      <w:pPr>
        <w:pStyle w:val="ListBullet"/>
        <w:spacing w:before="20" w:after="40"/>
        <w:ind w:left="283"/>
      </w:pPr>
      <w:r>
        <w:rPr>
          <w:b/>
          <w:color w:val="2D2D2D"/>
          <w:sz w:val="22"/>
        </w:rPr>
        <w:t>Mr Ng Teck Seng, 80</w:t>
      </w:r>
      <w:r>
        <w:rPr>
          <w:b w:val="0"/>
          <w:color w:val="2D2D2D"/>
          <w:sz w:val="22"/>
        </w:rPr>
        <w:t xml:space="preserve"> — Missed 2 medication doses. Risk band: Green.</w:t>
      </w:r>
    </w:p>
    <w:p>
      <w:pPr>
        <w:spacing w:before="40" w:after="120"/>
      </w:pPr>
      <w:r>
        <w:rPr>
          <w:b w:val="0"/>
          <w:color w:val="2D2D2D"/>
          <w:sz w:val="22"/>
        </w:rPr>
        <w:t xml:space="preserve">Click </w:t>
      </w:r>
      <w:r>
        <w:rPr>
          <w:b/>
          <w:color w:val="2D2D2D"/>
          <w:sz w:val="22"/>
        </w:rPr>
        <w:t>Trigger Event</w:t>
      </w:r>
      <w:r>
        <w:rPr>
          <w:b w:val="0"/>
          <w:color w:val="2D2D2D"/>
          <w:sz w:val="22"/>
        </w:rPr>
        <w:t xml:space="preserve"> for any senior to watch the AI decide:</w:t>
      </w:r>
    </w:p>
    <w:p>
      <w:pPr>
        <w:pStyle w:val="ListNumber"/>
        <w:spacing w:before="20" w:after="40"/>
        <w:ind w:left="283"/>
      </w:pPr>
      <w:r>
        <w:rPr>
          <w:b/>
          <w:color w:val="2D2D2D"/>
          <w:sz w:val="22"/>
        </w:rPr>
        <w:t>Perception</w:t>
      </w:r>
      <w:r>
        <w:rPr>
          <w:b w:val="0"/>
          <w:color w:val="2D2D2D"/>
          <w:sz w:val="22"/>
        </w:rPr>
        <w:t xml:space="preserve"> — What the AI observed (senior name, age, event type)</w:t>
      </w:r>
    </w:p>
    <w:p>
      <w:pPr>
        <w:pStyle w:val="ListNumber"/>
        <w:spacing w:before="20" w:after="40"/>
        <w:ind w:left="283"/>
      </w:pPr>
      <w:r>
        <w:rPr>
          <w:b/>
          <w:color w:val="2D2D2D"/>
          <w:sz w:val="22"/>
        </w:rPr>
        <w:t>Reasoning</w:t>
      </w:r>
      <w:r>
        <w:rPr>
          <w:b w:val="0"/>
          <w:color w:val="2D2D2D"/>
          <w:sz w:val="22"/>
        </w:rPr>
        <w:t xml:space="preserve"> — Which rule matched (event type + risk colour)</w:t>
      </w:r>
    </w:p>
    <w:p>
      <w:pPr>
        <w:pStyle w:val="ListNumber"/>
        <w:spacing w:before="20" w:after="40"/>
        <w:ind w:left="283"/>
      </w:pPr>
      <w:r>
        <w:rPr>
          <w:b/>
          <w:color w:val="2D2D2D"/>
          <w:sz w:val="22"/>
        </w:rPr>
        <w:t>Actions Taken</w:t>
      </w:r>
      <w:r>
        <w:rPr>
          <w:b w:val="0"/>
          <w:color w:val="2D2D2D"/>
          <w:sz w:val="22"/>
        </w:rPr>
        <w:t xml:space="preserve"> — What the AI did (listed as green ticks below)</w:t>
      </w:r>
    </w:p>
    <w:p>
      <w:pPr>
        <w:spacing w:before="40" w:after="120"/>
      </w:pPr>
      <w:r>
        <w:rPr>
          <w:b w:val="0"/>
          <w:color w:val="2D2D2D"/>
          <w:sz w:val="22"/>
        </w:rPr>
        <w:t>Decision logic in plain English:</w:t>
      </w:r>
    </w:p>
    <w:p>
      <w:pPr>
        <w:pStyle w:val="ListBullet"/>
        <w:spacing w:before="20" w:after="40"/>
        <w:ind w:left="283"/>
      </w:pPr>
      <w:r>
        <w:rPr>
          <w:b w:val="0"/>
          <w:color w:val="2D2D2D"/>
          <w:sz w:val="22"/>
        </w:rPr>
        <w:t>Fall + Red → EMS dispatched, family called, NEHR logged</w:t>
      </w:r>
    </w:p>
    <w:p>
      <w:pPr>
        <w:pStyle w:val="ListBullet"/>
        <w:spacing w:before="20" w:after="40"/>
        <w:ind w:left="283"/>
      </w:pPr>
      <w:r>
        <w:rPr>
          <w:b w:val="0"/>
          <w:color w:val="2D2D2D"/>
          <w:sz w:val="22"/>
        </w:rPr>
        <w:t>SpO2 drop + Amber → Family called, polyclinic appointment booked</w:t>
      </w:r>
    </w:p>
    <w:p>
      <w:pPr>
        <w:pStyle w:val="ListBullet"/>
        <w:spacing w:before="20" w:after="40"/>
        <w:ind w:left="283"/>
      </w:pPr>
      <w:r>
        <w:rPr>
          <w:b w:val="0"/>
          <w:color w:val="2D2D2D"/>
          <w:sz w:val="22"/>
        </w:rPr>
        <w:t>Missed meds + Green → Reminder message only</w:t>
      </w:r>
    </w:p>
    <w:p>
      <w:pPr>
        <w:spacing w:before="40" w:after="120"/>
      </w:pPr>
      <w:r>
        <w:rPr>
          <w:b/>
          <w:color w:val="2D2D2D"/>
          <w:sz w:val="22"/>
        </w:rPr>
        <w:t>The Typhoon Scenario</w:t>
      </w:r>
      <w:r>
        <w:rPr>
          <w:b w:val="0"/>
          <w:color w:val="2D2D2D"/>
          <w:sz w:val="22"/>
        </w:rPr>
        <w:t xml:space="preserve"> is a stress test where two crises happen simultaneously: Mr Tan falls AND Nurse Aileen (CG01) cancels her shift at the same moment. Click </w:t>
      </w:r>
      <w:r>
        <w:rPr>
          <w:b/>
          <w:color w:val="2D2D2D"/>
          <w:sz w:val="22"/>
        </w:rPr>
        <w:t>Trigger Typhoon Scenario</w:t>
      </w:r>
      <w:r>
        <w:rPr>
          <w:b w:val="0"/>
          <w:color w:val="2D2D2D"/>
          <w:sz w:val="22"/>
        </w:rPr>
        <w:t xml:space="preserve"> to see both systems respond within the same second — the unified event log at the bottom shows L3's schedule re-optimisation (blue entries) and L4's emergency actions (orange entries) interleaved with a shared correlation ID so you can trace the full chain.</w:t>
      </w:r>
    </w:p>
    <w:p>
      <w:pPr>
        <w:pStyle w:val="Heading2"/>
      </w:pPr>
      <w:r>
        <w:t>Screen Descriptions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Screen</w:t>
            </w:r>
          </w:p>
        </w:tc>
        <w:tc>
          <w:tcPr>
            <w:tcW w:type="dxa" w:w="3022"/>
            <w:shd w:val="clear" w:color="auto" w:fill="1E3A5F"/>
          </w:tcPr>
          <w:p>
            <w:pPr>
              <w:spacing w:before="60" w:after="60"/>
            </w:pPr>
            <w:r>
              <w:rPr>
                <w:rFonts w:ascii="Calibri" w:hAnsi="Calibri"/>
                <w:b/>
                <w:color w:val="FFFFFF"/>
                <w:sz w:val="20"/>
              </w:rPr>
              <w:t>How to Find It</w:t>
            </w:r>
          </w:p>
        </w:tc>
        <w:tc>
          <w:tcPr>
            <w:tcW w:type="dxa" w:w="3022"/>
            <w:shd w:val="clear" w:color="auto" w:fill="1E3A5F"/>
          </w:tcPr>
          <w:p>
            <w:pPr>
              <w:spacing w:before="60" w:after="60"/>
            </w:pPr>
            <w:r>
              <w:rPr>
                <w:rFonts w:ascii="Calibri" w:hAnsi="Calibri"/>
                <w:b/>
                <w:color w:val="FFFFFF"/>
                <w:sz w:val="20"/>
              </w:rPr>
              <w:t>What You See</w:t>
            </w:r>
          </w:p>
        </w:tc>
      </w:tr>
      <w:tr>
        <w:tc>
          <w:tcPr>
            <w:tcW w:type="dxa" w:w="3022"/>
            <w:shd w:val="clear" w:color="auto" w:fill="F0F4FA"/>
          </w:tcPr>
          <w:p>
            <w:pPr>
              <w:spacing w:before="40" w:after="40"/>
            </w:pPr>
            <w:r>
              <w:rPr>
                <w:b w:val="0"/>
                <w:color w:val="2D2D2D"/>
                <w:sz w:val="20"/>
              </w:rPr>
              <w:t>Home</w:t>
            </w:r>
          </w:p>
        </w:tc>
        <w:tc>
          <w:tcPr>
            <w:tcW w:type="dxa" w:w="3022"/>
            <w:shd w:val="clear" w:color="auto" w:fill="F0F4FA"/>
          </w:tcPr>
          <w:p>
            <w:pPr>
              <w:spacing w:before="40" w:after="40"/>
            </w:pPr>
            <w:r>
              <w:rPr>
                <w:b w:val="0"/>
                <w:color w:val="2D2D2D"/>
                <w:sz w:val="20"/>
              </w:rPr>
              <w:t>Default on launch</w:t>
            </w:r>
          </w:p>
        </w:tc>
        <w:tc>
          <w:tcPr>
            <w:tcW w:type="dxa" w:w="3022"/>
            <w:shd w:val="clear" w:color="auto" w:fill="F0F4FA"/>
          </w:tcPr>
          <w:p>
            <w:pPr>
              <w:spacing w:before="40" w:after="40"/>
            </w:pPr>
            <w:r>
              <w:rPr>
                <w:b w:val="0"/>
                <w:color w:val="2D2D2D"/>
                <w:sz w:val="20"/>
              </w:rPr>
              <w:t>Overview of all 4 layers, Singapore context, navigation guide</w:t>
            </w:r>
          </w:p>
        </w:tc>
      </w:tr>
      <w:tr>
        <w:tc>
          <w:tcPr>
            <w:tcW w:type="dxa" w:w="3022"/>
            <w:shd w:val="clear" w:color="auto" w:fill="FFFFFF"/>
          </w:tcPr>
          <w:p>
            <w:pPr>
              <w:spacing w:before="40" w:after="40"/>
            </w:pPr>
            <w:r>
              <w:rPr>
                <w:b w:val="0"/>
                <w:color w:val="2D2D2D"/>
                <w:sz w:val="20"/>
              </w:rPr>
              <w:t>L1 Fall Detection</w:t>
            </w:r>
          </w:p>
        </w:tc>
        <w:tc>
          <w:tcPr>
            <w:tcW w:type="dxa" w:w="3022"/>
            <w:shd w:val="clear" w:color="auto" w:fill="FFFFFF"/>
          </w:tcPr>
          <w:p>
            <w:pPr>
              <w:spacing w:before="40" w:after="40"/>
            </w:pPr>
            <w:r>
              <w:rPr>
                <w:b w:val="0"/>
                <w:color w:val="2D2D2D"/>
                <w:sz w:val="20"/>
              </w:rPr>
              <w:t>Sidebar → L1: Fall Detection</w:t>
            </w:r>
          </w:p>
        </w:tc>
        <w:tc>
          <w:tcPr>
            <w:tcW w:type="dxa" w:w="3022"/>
            <w:shd w:val="clear" w:color="auto" w:fill="FFFFFF"/>
          </w:tcPr>
          <w:p>
            <w:pPr>
              <w:spacing w:before="40" w:after="40"/>
            </w:pPr>
            <w:r>
              <w:rPr>
                <w:b w:val="0"/>
                <w:color w:val="2D2D2D"/>
                <w:sz w:val="20"/>
              </w:rPr>
              <w:t>Accelerometer chart, confidence bars, alert status, classification history</w:t>
            </w:r>
          </w:p>
        </w:tc>
      </w:tr>
      <w:tr>
        <w:tc>
          <w:tcPr>
            <w:tcW w:type="dxa" w:w="3022"/>
            <w:shd w:val="clear" w:color="auto" w:fill="F0F4FA"/>
          </w:tcPr>
          <w:p>
            <w:pPr>
              <w:spacing w:before="40" w:after="40"/>
            </w:pPr>
            <w:r>
              <w:rPr>
                <w:b w:val="0"/>
                <w:color w:val="2D2D2D"/>
                <w:sz w:val="20"/>
              </w:rPr>
              <w:t>L2 Health Risk</w:t>
            </w:r>
          </w:p>
        </w:tc>
        <w:tc>
          <w:tcPr>
            <w:tcW w:type="dxa" w:w="3022"/>
            <w:shd w:val="clear" w:color="auto" w:fill="F0F4FA"/>
          </w:tcPr>
          <w:p>
            <w:pPr>
              <w:spacing w:before="40" w:after="40"/>
            </w:pPr>
            <w:r>
              <w:rPr>
                <w:b w:val="0"/>
                <w:color w:val="2D2D2D"/>
                <w:sz w:val="20"/>
              </w:rPr>
              <w:t>Sidebar → L2: Health Risk</w:t>
            </w:r>
          </w:p>
        </w:tc>
        <w:tc>
          <w:tcPr>
            <w:tcW w:type="dxa" w:w="3022"/>
            <w:shd w:val="clear" w:color="auto" w:fill="F0F4FA"/>
          </w:tcPr>
          <w:p>
            <w:pPr>
              <w:spacing w:before="40" w:after="40"/>
            </w:pPr>
            <w:r>
              <w:rPr>
                <w:b w:val="0"/>
                <w:color w:val="2D2D2D"/>
                <w:sz w:val="20"/>
              </w:rPr>
              <w:t>Colour-coded worklist table, SHAP factor detail, risk distribution chart</w:t>
            </w:r>
          </w:p>
        </w:tc>
      </w:tr>
      <w:tr>
        <w:tc>
          <w:tcPr>
            <w:tcW w:type="dxa" w:w="3022"/>
            <w:shd w:val="clear" w:color="auto" w:fill="FFFFFF"/>
          </w:tcPr>
          <w:p>
            <w:pPr>
              <w:spacing w:before="40" w:after="40"/>
            </w:pPr>
            <w:r>
              <w:rPr>
                <w:b w:val="0"/>
                <w:color w:val="2D2D2D"/>
                <w:sz w:val="20"/>
              </w:rPr>
              <w:t>L3 Schedule</w:t>
            </w:r>
          </w:p>
        </w:tc>
        <w:tc>
          <w:tcPr>
            <w:tcW w:type="dxa" w:w="3022"/>
            <w:shd w:val="clear" w:color="auto" w:fill="FFFFFF"/>
          </w:tcPr>
          <w:p>
            <w:pPr>
              <w:spacing w:before="40" w:after="40"/>
            </w:pPr>
            <w:r>
              <w:rPr>
                <w:b w:val="0"/>
                <w:color w:val="2D2D2D"/>
                <w:sz w:val="20"/>
              </w:rPr>
              <w:t>Sidebar → L3: Caregiver Schedule</w:t>
            </w:r>
          </w:p>
        </w:tc>
        <w:tc>
          <w:tcPr>
            <w:tcW w:type="dxa" w:w="3022"/>
            <w:shd w:val="clear" w:color="auto" w:fill="FFFFFF"/>
          </w:tcPr>
          <w:p>
            <w:pPr>
              <w:spacing w:before="40" w:after="40"/>
            </w:pPr>
            <w:r>
              <w:rPr>
                <w:b w:val="0"/>
                <w:color w:val="2D2D2D"/>
                <w:sz w:val="20"/>
              </w:rPr>
              <w:t>Solve time, caregiver toggles, expanded assignment cards</w:t>
            </w:r>
          </w:p>
        </w:tc>
      </w:tr>
      <w:tr>
        <w:tc>
          <w:tcPr>
            <w:tcW w:type="dxa" w:w="3022"/>
            <w:shd w:val="clear" w:color="auto" w:fill="F0F4FA"/>
          </w:tcPr>
          <w:p>
            <w:pPr>
              <w:spacing w:before="40" w:after="40"/>
            </w:pPr>
            <w:r>
              <w:rPr>
                <w:b w:val="0"/>
                <w:color w:val="2D2D2D"/>
                <w:sz w:val="20"/>
              </w:rPr>
              <w:t>L4 Care Agent</w:t>
            </w:r>
          </w:p>
        </w:tc>
        <w:tc>
          <w:tcPr>
            <w:tcW w:type="dxa" w:w="3022"/>
            <w:shd w:val="clear" w:color="auto" w:fill="F0F4FA"/>
          </w:tcPr>
          <w:p>
            <w:pPr>
              <w:spacing w:before="40" w:after="40"/>
            </w:pPr>
            <w:r>
              <w:rPr>
                <w:b w:val="0"/>
                <w:color w:val="2D2D2D"/>
                <w:sz w:val="20"/>
              </w:rPr>
              <w:t>Sidebar → L4: Care Agent</w:t>
            </w:r>
          </w:p>
        </w:tc>
        <w:tc>
          <w:tcPr>
            <w:tcW w:type="dxa" w:w="3022"/>
            <w:shd w:val="clear" w:color="auto" w:fill="F0F4FA"/>
          </w:tcPr>
          <w:p>
            <w:pPr>
              <w:spacing w:before="40" w:after="40"/>
            </w:pPr>
            <w:r>
              <w:rPr>
                <w:b w:val="0"/>
                <w:color w:val="2D2D2D"/>
                <w:sz w:val="20"/>
              </w:rPr>
              <w:t>Event cards, AI decision display, action history, Typhoon button</w:t>
            </w:r>
          </w:p>
        </w:tc>
      </w:tr>
    </w:tbl>
    <w:p/>
    <w:p>
      <w:pPr>
        <w:pStyle w:val="Heading2"/>
      </w:pPr>
      <w:r>
        <w:t>What the App Cannot Do (Limitations to Set Expectations)</w:t>
      </w:r>
    </w:p>
    <w:p>
      <w:pPr>
        <w:pStyle w:val="ListBullet"/>
        <w:spacing w:before="20" w:after="40"/>
        <w:ind w:left="283"/>
      </w:pPr>
      <w:r>
        <w:rPr>
          <w:b/>
          <w:color w:val="2D2D2D"/>
          <w:sz w:val="22"/>
        </w:rPr>
        <w:t>No real patient data:</w:t>
      </w:r>
      <w:r>
        <w:rPr>
          <w:b w:val="0"/>
          <w:color w:val="2D2D2D"/>
          <w:sz w:val="22"/>
        </w:rPr>
        <w:t xml:space="preserve"> All 20 seniors and all events are simulated. The app demonstrates how the system would work — it does not reflect real patients.</w:t>
      </w:r>
    </w:p>
    <w:p>
      <w:pPr>
        <w:pStyle w:val="ListBullet"/>
        <w:spacing w:before="20" w:after="40"/>
        <w:ind w:left="283"/>
      </w:pPr>
      <w:r>
        <w:rPr>
          <w:b/>
          <w:color w:val="2D2D2D"/>
          <w:sz w:val="22"/>
        </w:rPr>
        <w:t>No persistent storage:</w:t>
      </w:r>
      <w:r>
        <w:rPr>
          <w:b w:val="0"/>
          <w:color w:val="2D2D2D"/>
          <w:sz w:val="22"/>
        </w:rPr>
        <w:t xml:space="preserve"> Data does not save between sessions. Refreshing the browser resets everything.</w:t>
      </w:r>
    </w:p>
    <w:p>
      <w:pPr>
        <w:pStyle w:val="ListBullet"/>
        <w:spacing w:before="20" w:after="40"/>
        <w:ind w:left="283"/>
      </w:pPr>
      <w:r>
        <w:rPr>
          <w:b/>
          <w:color w:val="2D2D2D"/>
          <w:sz w:val="22"/>
        </w:rPr>
        <w:t>No live wearable connection:</w:t>
      </w:r>
      <w:r>
        <w:rPr>
          <w:b w:val="0"/>
          <w:color w:val="2D2D2D"/>
          <w:sz w:val="22"/>
        </w:rPr>
        <w:t xml:space="preserve"> The accelerometer data is mathematically generated, not from an actual wristband.</w:t>
      </w:r>
    </w:p>
    <w:p>
      <w:pPr>
        <w:pStyle w:val="ListBullet"/>
        <w:spacing w:before="20" w:after="40"/>
        <w:ind w:left="283"/>
      </w:pPr>
      <w:r>
        <w:rPr>
          <w:b/>
          <w:color w:val="2D2D2D"/>
          <w:sz w:val="22"/>
        </w:rPr>
        <w:t>No real NEHR integration:</w:t>
      </w:r>
      <w:r>
        <w:rPr>
          <w:b w:val="0"/>
          <w:color w:val="2D2D2D"/>
          <w:sz w:val="22"/>
        </w:rPr>
        <w:t xml:space="preserve"> 'NEHR_LOG' in the action log is a simulated entry — nothing is written to a real health record.</w:t>
      </w:r>
    </w:p>
    <w:p>
      <w:pPr>
        <w:pStyle w:val="ListBullet"/>
        <w:spacing w:before="20" w:after="40"/>
        <w:ind w:left="283"/>
      </w:pPr>
      <w:r>
        <w:rPr>
          <w:b/>
          <w:color w:val="2D2D2D"/>
          <w:sz w:val="22"/>
        </w:rPr>
        <w:t>No authentication:</w:t>
      </w:r>
      <w:r>
        <w:rPr>
          <w:b w:val="0"/>
          <w:color w:val="2D2D2D"/>
          <w:sz w:val="22"/>
        </w:rPr>
        <w:t xml:space="preserve"> Anyone with the URL can access the app. A production system requires login and role-based access control.</w:t>
      </w:r>
    </w:p>
    <w:p>
      <w:pPr>
        <w:pStyle w:val="ListBullet"/>
        <w:spacing w:before="20" w:after="40"/>
        <w:ind w:left="283"/>
      </w:pPr>
      <w:r>
        <w:rPr>
          <w:b/>
          <w:color w:val="2D2D2D"/>
          <w:sz w:val="22"/>
        </w:rPr>
        <w:t>Multi-day scheduling:</w:t>
      </w:r>
      <w:r>
        <w:rPr>
          <w:b w:val="0"/>
          <w:color w:val="2D2D2D"/>
          <w:sz w:val="22"/>
        </w:rPr>
        <w:t xml:space="preserve"> L3 only shows one day's schedule. Long-term planning across a week or month is not yet implemented.</w:t>
      </w:r>
    </w:p>
    <w:p>
      <w:r>
        <w:br w:type="page"/>
      </w:r>
    </w:p>
    <w:p>
      <w:pPr>
        <w:pStyle w:val="Heading1"/>
      </w:pPr>
      <w:r>
        <w:t>SECTION 3 — FOR THE DEVELOPER: Taking Over the Codebase</w:t>
      </w:r>
    </w:p>
    <w:p>
      <w:pPr>
        <w:spacing w:before="40" w:after="40"/>
        <w:pBdr>
          <w:bottom w:val="single" w:sz="6" w:space="1" w:color="1F499B"/>
        </w:pBdr>
      </w:pPr>
    </w:p>
    <w:p>
      <w:pPr>
        <w:pStyle w:val="Heading2"/>
      </w:pPr>
      <w:r>
        <w:t>Architecture Overview — How the 4 Layers Connect</w:t>
      </w:r>
    </w:p>
    <w:p>
      <w:pPr>
        <w:spacing w:before="40" w:after="120"/>
      </w:pPr>
      <w:r>
        <w:rPr>
          <w:b w:val="0"/>
          <w:color w:val="2D2D2D"/>
          <w:sz w:val="22"/>
        </w:rPr>
        <w:t xml:space="preserve">The entire application is a </w:t>
      </w:r>
      <w:r>
        <w:rPr>
          <w:b/>
          <w:color w:val="2D2D2D"/>
          <w:sz w:val="22"/>
        </w:rPr>
        <w:t>single Python file</w:t>
      </w:r>
      <w:r>
        <w:rPr>
          <w:b w:val="0"/>
          <w:color w:val="2D2D2D"/>
          <w:sz w:val="22"/>
        </w:rPr>
        <w:t xml:space="preserve">: </w:t>
      </w:r>
      <w:r>
        <w:rPr>
          <w:rFonts w:ascii="Courier New" w:hAnsi="Courier New"/>
          <w:color w:val="C7254E"/>
          <w:sz w:val="21"/>
        </w:rPr>
        <w:t>workspaces/AgeCareAI/app.py</w:t>
      </w:r>
      <w:r>
        <w:rPr>
          <w:b w:val="0"/>
          <w:color w:val="2D2D2D"/>
          <w:sz w:val="22"/>
        </w:rPr>
        <w:t xml:space="preserve"> (~1,540 lines). There is no backend server, no database, and no external API calls. All state lives in Streamlit's </w:t>
      </w:r>
      <w:r>
        <w:rPr>
          <w:rFonts w:ascii="Courier New" w:hAnsi="Courier New"/>
          <w:color w:val="C7254E"/>
          <w:sz w:val="21"/>
        </w:rPr>
        <w:t>st.session_state</w:t>
      </w:r>
      <w:r>
        <w:rPr>
          <w:b w:val="0"/>
          <w:color w:val="2D2D2D"/>
          <w:sz w:val="22"/>
        </w:rPr>
        <w:t xml:space="preserve"> dictionary, which persists for the lifetime of one browser session.</w:t>
      </w:r>
    </w:p>
    <w:p>
      <w:pPr>
        <w:spacing w:before="20" w:after="20"/>
        <w:ind w:left="567"/>
        <w:shd w:val="clear" w:color="auto" w:fill="F3F4F6"/>
      </w:pPr>
      <w:r>
        <w:rPr>
          <w:rFonts w:ascii="Courier New" w:hAnsi="Courier New"/>
          <w:color w:val="1A1A2E"/>
          <w:sz w:val="18"/>
        </w:rPr>
        <w:t>app.py</w:t>
      </w:r>
    </w:p>
    <w:p>
      <w:pPr>
        <w:spacing w:before="20" w:after="20"/>
        <w:ind w:left="567"/>
        <w:shd w:val="clear" w:color="auto" w:fill="F3F4F6"/>
      </w:pPr>
      <w:r>
        <w:rPr>
          <w:rFonts w:ascii="Courier New" w:hAnsi="Courier New"/>
          <w:color w:val="1A1A2E"/>
          <w:sz w:val="18"/>
        </w:rPr>
        <w:t>├── Custom CSS (lines 25–201)               Dark theme styling</w:t>
      </w:r>
    </w:p>
    <w:p>
      <w:pPr>
        <w:spacing w:before="20" w:after="20"/>
        <w:ind w:left="567"/>
        <w:shd w:val="clear" w:color="auto" w:fill="F3F4F6"/>
      </w:pPr>
      <w:r>
        <w:rPr>
          <w:rFonts w:ascii="Courier New" w:hAnsi="Courier New"/>
          <w:color w:val="1A1A2E"/>
          <w:sz w:val="18"/>
        </w:rPr>
        <w:t>├── Data Models &amp; Enums (207–330)            Dataclasses: Senior, Caregiver, Event, RiskAssessment</w:t>
      </w:r>
    </w:p>
    <w:p>
      <w:pPr>
        <w:spacing w:before="20" w:after="20"/>
        <w:ind w:left="567"/>
        <w:shd w:val="clear" w:color="auto" w:fill="F3F4F6"/>
      </w:pPr>
      <w:r>
        <w:rPr>
          <w:rFonts w:ascii="Courier New" w:hAnsi="Courier New"/>
          <w:color w:val="1A1A2E"/>
          <w:sz w:val="18"/>
        </w:rPr>
        <w:t>├── Session State Init (336–379)             init_session_state()</w:t>
      </w:r>
    </w:p>
    <w:p>
      <w:pPr>
        <w:spacing w:before="20" w:after="20"/>
        <w:ind w:left="567"/>
        <w:shd w:val="clear" w:color="auto" w:fill="F3F4F6"/>
      </w:pPr>
      <w:r>
        <w:rPr>
          <w:rFonts w:ascii="Courier New" w:hAnsi="Courier New"/>
          <w:color w:val="1A1A2E"/>
          <w:sz w:val="18"/>
        </w:rPr>
        <w:t>├── Data Generation (385–558)                generate_singapore_seniors(), generate_caregivers()</w:t>
      </w:r>
    </w:p>
    <w:p>
      <w:pPr>
        <w:spacing w:before="20" w:after="20"/>
        <w:ind w:left="567"/>
        <w:shd w:val="clear" w:color="auto" w:fill="F3F4F6"/>
      </w:pPr>
      <w:r>
        <w:rPr>
          <w:rFonts w:ascii="Courier New" w:hAnsi="Courier New"/>
          <w:color w:val="1A1A2E"/>
          <w:sz w:val="18"/>
        </w:rPr>
        <w:t>│                                            generate_accelerometer_sequence(), generate_preloaded_events()</w:t>
      </w:r>
    </w:p>
    <w:p>
      <w:pPr>
        <w:spacing w:before="20" w:after="20"/>
        <w:ind w:left="567"/>
        <w:shd w:val="clear" w:color="auto" w:fill="F3F4F6"/>
      </w:pPr>
      <w:r>
        <w:rPr>
          <w:rFonts w:ascii="Courier New" w:hAnsi="Courier New"/>
          <w:color w:val="1A1A2E"/>
          <w:sz w:val="18"/>
        </w:rPr>
        <w:t>├── L1: FallDetector class (586–638)         sklearn RandomForestClassifier + extract_features()</w:t>
      </w:r>
    </w:p>
    <w:p>
      <w:pPr>
        <w:spacing w:before="20" w:after="20"/>
        <w:ind w:left="567"/>
        <w:shd w:val="clear" w:color="auto" w:fill="F3F4F6"/>
      </w:pPr>
      <w:r>
        <w:rPr>
          <w:rFonts w:ascii="Courier New" w:hAnsi="Courier New"/>
          <w:color w:val="1A1A2E"/>
          <w:sz w:val="18"/>
        </w:rPr>
        <w:t>├── L2: HealthRiskPredictor class (644–729)  sklearn RandomForest + shap.TreeExplainer</w:t>
      </w:r>
    </w:p>
    <w:p>
      <w:pPr>
        <w:spacing w:before="20" w:after="20"/>
        <w:ind w:left="567"/>
        <w:shd w:val="clear" w:color="auto" w:fill="F3F4F6"/>
      </w:pPr>
      <w:r>
        <w:rPr>
          <w:rFonts w:ascii="Courier New" w:hAnsi="Courier New"/>
          <w:color w:val="1A1A2E"/>
          <w:sz w:val="18"/>
        </w:rPr>
        <w:t>├── L3: solve_schedule() (735–825)           OR-Tools cp_model.CpModel MILP solver</w:t>
      </w:r>
    </w:p>
    <w:p>
      <w:pPr>
        <w:spacing w:before="20" w:after="20"/>
        <w:ind w:left="567"/>
        <w:shd w:val="clear" w:color="auto" w:fill="F3F4F6"/>
      </w:pPr>
      <w:r>
        <w:rPr>
          <w:rFonts w:ascii="Courier New" w:hAnsi="Courier New"/>
          <w:color w:val="1A1A2E"/>
          <w:sz w:val="18"/>
        </w:rPr>
        <w:t>├── L4: decide_actions() + execute_action()  Rule-based decision tree (831–960)</w:t>
      </w:r>
    </w:p>
    <w:p>
      <w:pPr>
        <w:spacing w:before="20" w:after="20"/>
        <w:ind w:left="567"/>
        <w:shd w:val="clear" w:color="auto" w:fill="F3F4F6"/>
      </w:pPr>
      <w:r>
        <w:rPr>
          <w:rFonts w:ascii="Courier New" w:hAnsi="Courier New"/>
          <w:color w:val="1A1A2E"/>
          <w:sz w:val="18"/>
        </w:rPr>
        <w:t>├── UI Components (966–1336)                 render_l1/l2/l3/l4/typhoon/welcome pages</w:t>
      </w:r>
    </w:p>
    <w:p>
      <w:pPr>
        <w:spacing w:before="20" w:after="20"/>
        <w:ind w:left="567"/>
        <w:shd w:val="clear" w:color="auto" w:fill="F3F4F6"/>
      </w:pPr>
      <w:r>
        <w:rPr>
          <w:rFonts w:ascii="Courier New" w:hAnsi="Courier New"/>
          <w:color w:val="1A1A2E"/>
          <w:sz w:val="18"/>
        </w:rPr>
        <w:t>└── main() (1485–end)                        Page routing, session state hydration</w:t>
      </w:r>
    </w:p>
    <w:p>
      <w:pPr>
        <w:spacing w:before="40" w:after="120"/>
      </w:pPr>
      <w:r>
        <w:rPr>
          <w:b/>
          <w:color w:val="2D2D2D"/>
          <w:sz w:val="22"/>
        </w:rPr>
        <w:t>Data flow:</w:t>
      </w:r>
      <w:r>
        <w:rPr>
          <w:b w:val="0"/>
          <w:color w:val="2D2D2D"/>
          <w:sz w:val="22"/>
        </w:rPr>
        <w:t xml:space="preserve"> </w:t>
      </w:r>
      <w:r>
        <w:rPr>
          <w:rFonts w:ascii="Courier New" w:hAnsi="Courier New"/>
          <w:color w:val="C7254E"/>
          <w:sz w:val="21"/>
        </w:rPr>
        <w:t>generate_singapore_seniors()</w:t>
      </w:r>
      <w:r>
        <w:rPr>
          <w:b w:val="0"/>
          <w:color w:val="2D2D2D"/>
          <w:sz w:val="22"/>
        </w:rPr>
        <w:t xml:space="preserve"> → </w:t>
      </w:r>
      <w:r>
        <w:rPr>
          <w:rFonts w:ascii="Courier New" w:hAnsi="Courier New"/>
          <w:color w:val="C7254E"/>
          <w:sz w:val="21"/>
        </w:rPr>
        <w:t>HealthRiskPredictor.__init__()</w:t>
      </w:r>
      <w:r>
        <w:rPr>
          <w:b w:val="0"/>
          <w:color w:val="2D2D2D"/>
          <w:sz w:val="22"/>
        </w:rPr>
        <w:t xml:space="preserve"> trains model → </w:t>
      </w:r>
      <w:r>
        <w:rPr>
          <w:rFonts w:ascii="Courier New" w:hAnsi="Courier New"/>
          <w:color w:val="C7254E"/>
          <w:sz w:val="21"/>
        </w:rPr>
        <w:t>render_l2_page()</w:t>
      </w:r>
      <w:r>
        <w:rPr>
          <w:b w:val="0"/>
          <w:color w:val="2D2D2D"/>
          <w:sz w:val="22"/>
        </w:rPr>
        <w:t xml:space="preserve"> calls </w:t>
      </w:r>
      <w:r>
        <w:rPr>
          <w:rFonts w:ascii="Courier New" w:hAnsi="Courier New"/>
          <w:color w:val="C7254E"/>
          <w:sz w:val="21"/>
        </w:rPr>
        <w:t>predict()</w:t>
      </w:r>
      <w:r>
        <w:rPr>
          <w:b w:val="0"/>
          <w:color w:val="2D2D2D"/>
          <w:sz w:val="22"/>
        </w:rPr>
        <w:t xml:space="preserve"> per senior → SHAP values extracted → UI rendered. L3 calls </w:t>
      </w:r>
      <w:r>
        <w:rPr>
          <w:rFonts w:ascii="Courier New" w:hAnsi="Courier New"/>
          <w:color w:val="C7254E"/>
          <w:sz w:val="21"/>
        </w:rPr>
        <w:t>solve_schedule()</w:t>
      </w:r>
      <w:r>
        <w:rPr>
          <w:b w:val="0"/>
          <w:color w:val="2D2D2D"/>
          <w:sz w:val="22"/>
        </w:rPr>
        <w:t xml:space="preserve"> on first load and on every caregiver toggle. L4 calls </w:t>
      </w:r>
      <w:r>
        <w:rPr>
          <w:rFonts w:ascii="Courier New" w:hAnsi="Courier New"/>
          <w:color w:val="C7254E"/>
          <w:sz w:val="21"/>
        </w:rPr>
        <w:t>decide_actions()</w:t>
      </w:r>
      <w:r>
        <w:rPr>
          <w:b w:val="0"/>
          <w:color w:val="2D2D2D"/>
          <w:sz w:val="22"/>
        </w:rPr>
        <w:t xml:space="preserve"> on button press. The Typhoon scenario calls both simultaneously.</w:t>
      </w:r>
    </w:p>
    <w:p>
      <w:pPr>
        <w:pStyle w:val="Heading2"/>
      </w:pPr>
      <w:r>
        <w:t>File Structure</w:t>
      </w:r>
    </w:p>
    <w:p>
      <w:pPr>
        <w:spacing w:before="20" w:after="20"/>
        <w:ind w:left="567"/>
        <w:shd w:val="clear" w:color="auto" w:fill="F3F4F6"/>
      </w:pPr>
      <w:r>
        <w:rPr>
          <w:rFonts w:ascii="Courier New" w:hAnsi="Courier New"/>
          <w:color w:val="1A1A2E"/>
          <w:sz w:val="18"/>
        </w:rPr>
        <w:t>workspaces/AgeCareAI/</w:t>
      </w:r>
    </w:p>
    <w:p>
      <w:pPr>
        <w:spacing w:before="20" w:after="20"/>
        <w:ind w:left="567"/>
        <w:shd w:val="clear" w:color="auto" w:fill="F3F4F6"/>
      </w:pPr>
      <w:r>
        <w:rPr>
          <w:rFonts w:ascii="Courier New" w:hAnsi="Courier New"/>
          <w:color w:val="1A1A2E"/>
          <w:sz w:val="18"/>
        </w:rPr>
        <w:t>├── app.py                    Main application (~1,540 lines)</w:t>
      </w:r>
    </w:p>
    <w:p>
      <w:pPr>
        <w:spacing w:before="20" w:after="20"/>
        <w:ind w:left="567"/>
        <w:shd w:val="clear" w:color="auto" w:fill="F3F4F6"/>
      </w:pPr>
      <w:r>
        <w:rPr>
          <w:rFonts w:ascii="Courier New" w:hAnsi="Courier New"/>
          <w:color w:val="1A1A2E"/>
          <w:sz w:val="18"/>
        </w:rPr>
        <w:t>├── requirements.txt          6 Python dependencies</w:t>
      </w:r>
    </w:p>
    <w:p>
      <w:pPr>
        <w:spacing w:before="20" w:after="20"/>
        <w:ind w:left="567"/>
        <w:shd w:val="clear" w:color="auto" w:fill="F3F4F6"/>
      </w:pPr>
      <w:r>
        <w:rPr>
          <w:rFonts w:ascii="Courier New" w:hAnsi="Courier New"/>
          <w:color w:val="1A1A2E"/>
          <w:sz w:val="18"/>
        </w:rPr>
        <w:t>├── README.md                 Usage instructions</w:t>
      </w:r>
    </w:p>
    <w:p>
      <w:pPr>
        <w:spacing w:before="20" w:after="20"/>
        <w:ind w:left="567"/>
        <w:shd w:val="clear" w:color="auto" w:fill="F3F4F6"/>
      </w:pPr>
      <w:r>
        <w:rPr>
          <w:rFonts w:ascii="Courier New" w:hAnsi="Courier New"/>
          <w:color w:val="1A1A2E"/>
          <w:sz w:val="18"/>
        </w:rPr>
        <w:t>├── .env                      Environment variables (empty — no API keys needed)</w:t>
      </w:r>
    </w:p>
    <w:p>
      <w:pPr>
        <w:spacing w:before="20" w:after="20"/>
        <w:ind w:left="567"/>
        <w:shd w:val="clear" w:color="auto" w:fill="F3F4F6"/>
      </w:pPr>
      <w:r>
        <w:rPr>
          <w:rFonts w:ascii="Courier New" w:hAnsi="Courier New"/>
          <w:color w:val="1A1A2E"/>
          <w:sz w:val="18"/>
        </w:rPr>
        <w:t>├── .streamlit/</w:t>
      </w:r>
    </w:p>
    <w:p>
      <w:pPr>
        <w:spacing w:before="20" w:after="20"/>
        <w:ind w:left="567"/>
        <w:shd w:val="clear" w:color="auto" w:fill="F3F4F6"/>
      </w:pPr>
      <w:r>
        <w:rPr>
          <w:rFonts w:ascii="Courier New" w:hAnsi="Courier New"/>
          <w:color w:val="1A1A2E"/>
          <w:sz w:val="18"/>
        </w:rPr>
        <w:t>│   └── config.toml           Streamlit server settings (port 8501, headless)</w:t>
      </w:r>
    </w:p>
    <w:p>
      <w:pPr>
        <w:spacing w:before="20" w:after="20"/>
        <w:ind w:left="567"/>
        <w:shd w:val="clear" w:color="auto" w:fill="F3F4F6"/>
      </w:pPr>
      <w:r>
        <w:rPr>
          <w:rFonts w:ascii="Courier New" w:hAnsi="Courier New"/>
          <w:color w:val="1A1A2E"/>
          <w:sz w:val="18"/>
        </w:rPr>
        <w:t>├── 01-analysis/              Architecture and requirements analysis docs</w:t>
      </w:r>
    </w:p>
    <w:p>
      <w:pPr>
        <w:spacing w:before="20" w:after="20"/>
        <w:ind w:left="567"/>
        <w:shd w:val="clear" w:color="auto" w:fill="F3F4F6"/>
      </w:pPr>
      <w:r>
        <w:rPr>
          <w:rFonts w:ascii="Courier New" w:hAnsi="Courier New"/>
          <w:color w:val="1A1A2E"/>
          <w:sz w:val="18"/>
        </w:rPr>
        <w:t>├── 04-validate/              Red team validation reports</w:t>
      </w:r>
    </w:p>
    <w:p>
      <w:pPr>
        <w:spacing w:before="20" w:after="20"/>
        <w:ind w:left="567"/>
        <w:shd w:val="clear" w:color="auto" w:fill="F3F4F6"/>
      </w:pPr>
      <w:r>
        <w:rPr>
          <w:rFonts w:ascii="Courier New" w:hAnsi="Courier New"/>
          <w:color w:val="1A1A2E"/>
          <w:sz w:val="18"/>
        </w:rPr>
        <w:t>├── briefs/                   Original project brief</w:t>
      </w:r>
    </w:p>
    <w:p>
      <w:pPr>
        <w:spacing w:before="20" w:after="20"/>
        <w:ind w:left="567"/>
        <w:shd w:val="clear" w:color="auto" w:fill="F3F4F6"/>
      </w:pPr>
      <w:r>
        <w:rPr>
          <w:rFonts w:ascii="Courier New" w:hAnsi="Courier New"/>
          <w:color w:val="1A1A2E"/>
          <w:sz w:val="18"/>
        </w:rPr>
        <w:t>├── journal/                  Design decision log</w:t>
      </w:r>
    </w:p>
    <w:p>
      <w:pPr>
        <w:spacing w:before="20" w:after="20"/>
        <w:ind w:left="567"/>
        <w:shd w:val="clear" w:color="auto" w:fill="F3F4F6"/>
      </w:pPr>
      <w:r>
        <w:rPr>
          <w:rFonts w:ascii="Courier New" w:hAnsi="Courier New"/>
          <w:color w:val="1A1A2E"/>
          <w:sz w:val="18"/>
        </w:rPr>
        <w:t>├── specs/                    Layer-by-layer specifications</w:t>
      </w:r>
    </w:p>
    <w:p>
      <w:pPr>
        <w:spacing w:before="20" w:after="20"/>
        <w:ind w:left="567"/>
        <w:shd w:val="clear" w:color="auto" w:fill="F3F4F6"/>
      </w:pPr>
      <w:r>
        <w:rPr>
          <w:rFonts w:ascii="Courier New" w:hAnsi="Courier New"/>
          <w:color w:val="1A1A2E"/>
          <w:sz w:val="18"/>
        </w:rPr>
        <w:t>└── todos/                    Implementation task tracking</w:t>
      </w:r>
    </w:p>
    <w:p>
      <w:pPr>
        <w:pStyle w:val="Heading2"/>
      </w:pPr>
      <w:r>
        <w:t>How to Run Locally</w:t>
      </w:r>
    </w:p>
    <w:p>
      <w:pPr>
        <w:spacing w:before="20" w:after="20"/>
        <w:ind w:left="567"/>
        <w:shd w:val="clear" w:color="auto" w:fill="F3F4F6"/>
      </w:pPr>
      <w:r>
        <w:rPr>
          <w:rFonts w:ascii="Courier New" w:hAnsi="Courier New"/>
          <w:color w:val="1A1A2E"/>
          <w:sz w:val="18"/>
        </w:rPr>
        <w:t># 1. Clone the repository</w:t>
      </w:r>
    </w:p>
    <w:p>
      <w:pPr>
        <w:spacing w:before="20" w:after="20"/>
        <w:ind w:left="567"/>
        <w:shd w:val="clear" w:color="auto" w:fill="F3F4F6"/>
      </w:pPr>
      <w:r>
        <w:rPr>
          <w:rFonts w:ascii="Courier New" w:hAnsi="Courier New"/>
          <w:color w:val="1A1A2E"/>
          <w:sz w:val="18"/>
        </w:rPr>
        <w:t>git clone https://github.com/queenie9216/AgeCareAI-.git</w:t>
      </w:r>
    </w:p>
    <w:p>
      <w:pPr>
        <w:spacing w:before="20" w:after="20"/>
        <w:ind w:left="567"/>
        <w:shd w:val="clear" w:color="auto" w:fill="F3F4F6"/>
      </w:pPr>
      <w:r>
        <w:rPr>
          <w:rFonts w:ascii="Courier New" w:hAnsi="Courier New"/>
          <w:color w:val="1A1A2E"/>
          <w:sz w:val="18"/>
        </w:rPr>
        <w:t>cd AgeCareAI-/workspaces/AgeCareAI</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 2. Create and activate a virtual environment</w:t>
      </w:r>
    </w:p>
    <w:p>
      <w:pPr>
        <w:spacing w:before="20" w:after="20"/>
        <w:ind w:left="567"/>
        <w:shd w:val="clear" w:color="auto" w:fill="F3F4F6"/>
      </w:pPr>
      <w:r>
        <w:rPr>
          <w:rFonts w:ascii="Courier New" w:hAnsi="Courier New"/>
          <w:color w:val="1A1A2E"/>
          <w:sz w:val="18"/>
        </w:rPr>
        <w:t>python3 -m venv .venv</w:t>
      </w:r>
    </w:p>
    <w:p>
      <w:pPr>
        <w:spacing w:before="20" w:after="20"/>
        <w:ind w:left="567"/>
        <w:shd w:val="clear" w:color="auto" w:fill="F3F4F6"/>
      </w:pPr>
      <w:r>
        <w:rPr>
          <w:rFonts w:ascii="Courier New" w:hAnsi="Courier New"/>
          <w:color w:val="1A1A2E"/>
          <w:sz w:val="18"/>
        </w:rPr>
        <w:t>source .venv/bin/activate          # macOS/Linux</w:t>
      </w:r>
    </w:p>
    <w:p>
      <w:pPr>
        <w:spacing w:before="20" w:after="20"/>
        <w:ind w:left="567"/>
        <w:shd w:val="clear" w:color="auto" w:fill="F3F4F6"/>
      </w:pPr>
      <w:r>
        <w:rPr>
          <w:rFonts w:ascii="Courier New" w:hAnsi="Courier New"/>
          <w:color w:val="1A1A2E"/>
          <w:sz w:val="18"/>
        </w:rPr>
        <w:t># .venv\Scripts\activate         # Windows</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 3. Install dependencies</w:t>
      </w:r>
    </w:p>
    <w:p>
      <w:pPr>
        <w:spacing w:before="20" w:after="20"/>
        <w:ind w:left="567"/>
        <w:shd w:val="clear" w:color="auto" w:fill="F3F4F6"/>
      </w:pPr>
      <w:r>
        <w:rPr>
          <w:rFonts w:ascii="Courier New" w:hAnsi="Courier New"/>
          <w:color w:val="1A1A2E"/>
          <w:sz w:val="18"/>
        </w:rPr>
        <w:t>pip install -r requirements.txt</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 4. Run the app</w:t>
      </w:r>
    </w:p>
    <w:p>
      <w:pPr>
        <w:spacing w:before="20" w:after="20"/>
        <w:ind w:left="567"/>
        <w:shd w:val="clear" w:color="auto" w:fill="F3F4F6"/>
      </w:pPr>
      <w:r>
        <w:rPr>
          <w:rFonts w:ascii="Courier New" w:hAnsi="Courier New"/>
          <w:color w:val="1A1A2E"/>
          <w:sz w:val="18"/>
        </w:rPr>
        <w:t>streamlit run app.py</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 5. Open browser at http://localhost:8501</w:t>
      </w:r>
    </w:p>
    <w:p>
      <w:pPr>
        <w:spacing w:before="40" w:after="120"/>
      </w:pPr>
      <w:r>
        <w:rPr>
          <w:b w:val="0"/>
          <w:color w:val="2D2D2D"/>
          <w:sz w:val="22"/>
        </w:rPr>
        <w:t xml:space="preserve">The first load takes 5–10 seconds as the ML models train on synthetic data. Subsequent page navigations are fast (models cached in </w:t>
      </w:r>
      <w:r>
        <w:rPr>
          <w:rFonts w:ascii="Courier New" w:hAnsi="Courier New"/>
          <w:color w:val="C7254E"/>
          <w:sz w:val="21"/>
        </w:rPr>
        <w:t>st.session_state</w:t>
      </w:r>
      <w:r>
        <w:rPr>
          <w:b w:val="0"/>
          <w:color w:val="2D2D2D"/>
          <w:sz w:val="22"/>
        </w:rPr>
        <w:t>).</w:t>
      </w:r>
    </w:p>
    <w:p>
      <w:pPr>
        <w:pStyle w:val="Heading2"/>
      </w:pPr>
      <w:r>
        <w:t>How to Deploy to Streamlit Cloud</w:t>
      </w:r>
    </w:p>
    <w:p>
      <w:pPr>
        <w:pStyle w:val="ListNumber"/>
        <w:spacing w:before="20" w:after="40"/>
        <w:ind w:left="283"/>
      </w:pPr>
      <w:r>
        <w:rPr>
          <w:b w:val="0"/>
          <w:color w:val="2D2D2D"/>
          <w:sz w:val="22"/>
        </w:rPr>
        <w:t>Push the repository to GitHub (already done at https://github.com/queenie9216/AgeCareAI-).</w:t>
      </w:r>
    </w:p>
    <w:p>
      <w:pPr>
        <w:pStyle w:val="ListNumber"/>
        <w:spacing w:before="20" w:after="40"/>
        <w:ind w:left="283"/>
      </w:pPr>
      <w:r>
        <w:rPr>
          <w:b w:val="0"/>
          <w:color w:val="2D2D2D"/>
          <w:sz w:val="22"/>
        </w:rPr>
        <w:t>Go to https://share.streamlit.io and sign in with GitHub.</w:t>
      </w:r>
    </w:p>
    <w:p>
      <w:pPr>
        <w:pStyle w:val="ListNumber"/>
        <w:spacing w:before="20" w:after="40"/>
        <w:ind w:left="283"/>
      </w:pPr>
      <w:r>
        <w:rPr>
          <w:b w:val="0"/>
          <w:color w:val="2D2D2D"/>
          <w:sz w:val="22"/>
        </w:rPr>
        <w:t xml:space="preserve">Click </w:t>
      </w:r>
      <w:r>
        <w:rPr>
          <w:b/>
          <w:color w:val="2D2D2D"/>
          <w:sz w:val="22"/>
        </w:rPr>
        <w:t>New app</w:t>
      </w:r>
      <w:r>
        <w:rPr>
          <w:b w:val="0"/>
          <w:color w:val="2D2D2D"/>
          <w:sz w:val="22"/>
        </w:rPr>
        <w:t>.</w:t>
      </w:r>
    </w:p>
    <w:p>
      <w:pPr>
        <w:pStyle w:val="ListNumber"/>
        <w:spacing w:before="20" w:after="40"/>
        <w:ind w:left="283"/>
      </w:pPr>
      <w:r>
        <w:rPr>
          <w:b w:val="0"/>
          <w:color w:val="2D2D2D"/>
          <w:sz w:val="22"/>
        </w:rPr>
        <w:t xml:space="preserve">Repository: </w:t>
      </w:r>
      <w:r>
        <w:rPr>
          <w:rFonts w:ascii="Courier New" w:hAnsi="Courier New"/>
          <w:color w:val="C7254E"/>
          <w:sz w:val="21"/>
        </w:rPr>
        <w:t>queenie9216/AgeCareAI-</w:t>
      </w:r>
      <w:r>
        <w:rPr>
          <w:b w:val="0"/>
          <w:color w:val="2D2D2D"/>
          <w:sz w:val="22"/>
        </w:rPr>
        <w:t xml:space="preserve"> · Branch: </w:t>
      </w:r>
      <w:r>
        <w:rPr>
          <w:rFonts w:ascii="Courier New" w:hAnsi="Courier New"/>
          <w:color w:val="C7254E"/>
          <w:sz w:val="21"/>
        </w:rPr>
        <w:t>main</w:t>
      </w:r>
      <w:r>
        <w:rPr>
          <w:b w:val="0"/>
          <w:color w:val="2D2D2D"/>
          <w:sz w:val="22"/>
        </w:rPr>
        <w:t xml:space="preserve"> · Main file path: </w:t>
      </w:r>
      <w:r>
        <w:rPr>
          <w:rFonts w:ascii="Courier New" w:hAnsi="Courier New"/>
          <w:color w:val="C7254E"/>
          <w:sz w:val="21"/>
        </w:rPr>
        <w:t>workspaces/AgeCareAI/app.py</w:t>
      </w:r>
    </w:p>
    <w:p>
      <w:pPr>
        <w:pStyle w:val="ListNumber"/>
        <w:spacing w:before="20" w:after="40"/>
        <w:ind w:left="283"/>
      </w:pPr>
      <w:r>
        <w:rPr>
          <w:b w:val="0"/>
          <w:color w:val="2D2D2D"/>
          <w:sz w:val="22"/>
        </w:rPr>
        <w:t xml:space="preserve">Click </w:t>
      </w:r>
      <w:r>
        <w:rPr>
          <w:b/>
          <w:color w:val="2D2D2D"/>
          <w:sz w:val="22"/>
        </w:rPr>
        <w:t>Deploy</w:t>
      </w:r>
      <w:r>
        <w:rPr>
          <w:b w:val="0"/>
          <w:color w:val="2D2D2D"/>
          <w:sz w:val="22"/>
        </w:rPr>
        <w:t xml:space="preserve">. Streamlit Cloud reads </w:t>
      </w:r>
      <w:r>
        <w:rPr>
          <w:rFonts w:ascii="Courier New" w:hAnsi="Courier New"/>
          <w:color w:val="C7254E"/>
          <w:sz w:val="21"/>
        </w:rPr>
        <w:t>requirements.txt</w:t>
      </w:r>
      <w:r>
        <w:rPr>
          <w:b w:val="0"/>
          <w:color w:val="2D2D2D"/>
          <w:sz w:val="22"/>
        </w:rPr>
        <w:t xml:space="preserve"> from the same directory as </w:t>
      </w:r>
      <w:r>
        <w:rPr>
          <w:rFonts w:ascii="Courier New" w:hAnsi="Courier New"/>
          <w:color w:val="C7254E"/>
          <w:sz w:val="21"/>
        </w:rPr>
        <w:t>app.py</w:t>
      </w:r>
      <w:r>
        <w:rPr>
          <w:b w:val="0"/>
          <w:color w:val="2D2D2D"/>
          <w:sz w:val="22"/>
        </w:rPr>
        <w:t>. No environment variables are required.</w:t>
      </w:r>
    </w:p>
    <w:p>
      <w:pPr>
        <w:pStyle w:val="Heading2"/>
      </w:pPr>
      <w:r>
        <w:t>Dependencies and Known Version Sensitivities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Package</w:t>
            </w:r>
          </w:p>
        </w:tc>
        <w:tc>
          <w:tcPr>
            <w:tcW w:type="dxa" w:w="3022"/>
            <w:shd w:val="clear" w:color="auto" w:fill="1E3A5F"/>
          </w:tcPr>
          <w:p>
            <w:pPr>
              <w:spacing w:before="60" w:after="60"/>
            </w:pPr>
            <w:r>
              <w:rPr>
                <w:rFonts w:ascii="Calibri" w:hAnsi="Calibri"/>
                <w:b/>
                <w:color w:val="FFFFFF"/>
                <w:sz w:val="20"/>
              </w:rPr>
              <w:t>Minimum Version</w:t>
            </w:r>
          </w:p>
        </w:tc>
        <w:tc>
          <w:tcPr>
            <w:tcW w:type="dxa" w:w="3022"/>
            <w:shd w:val="clear" w:color="auto" w:fill="1E3A5F"/>
          </w:tcPr>
          <w:p>
            <w:pPr>
              <w:spacing w:before="60" w:after="60"/>
            </w:pPr>
            <w:r>
              <w:rPr>
                <w:rFonts w:ascii="Calibri" w:hAnsi="Calibri"/>
                <w:b/>
                <w:color w:val="FFFFFF"/>
                <w:sz w:val="20"/>
              </w:rPr>
              <w:t>Notes</w:t>
            </w:r>
          </w:p>
        </w:tc>
      </w:tr>
      <w:tr>
        <w:tc>
          <w:tcPr>
            <w:tcW w:type="dxa" w:w="3022"/>
            <w:shd w:val="clear" w:color="auto" w:fill="F0F4FA"/>
          </w:tcPr>
          <w:p>
            <w:pPr>
              <w:spacing w:before="40" w:after="40"/>
            </w:pPr>
            <w:r>
              <w:rPr>
                <w:rFonts w:ascii="Courier New" w:hAnsi="Courier New"/>
                <w:color w:val="C7254E"/>
                <w:sz w:val="19"/>
              </w:rPr>
              <w:t>streamlit</w:t>
            </w:r>
          </w:p>
        </w:tc>
        <w:tc>
          <w:tcPr>
            <w:tcW w:type="dxa" w:w="3022"/>
            <w:shd w:val="clear" w:color="auto" w:fill="F0F4FA"/>
          </w:tcPr>
          <w:p>
            <w:pPr>
              <w:spacing w:before="40" w:after="40"/>
            </w:pPr>
            <w:r>
              <w:rPr>
                <w:b w:val="0"/>
                <w:color w:val="2D2D2D"/>
                <w:sz w:val="20"/>
              </w:rPr>
              <w:t>≥1.28.0</w:t>
            </w:r>
          </w:p>
        </w:tc>
        <w:tc>
          <w:tcPr>
            <w:tcW w:type="dxa" w:w="3022"/>
            <w:shd w:val="clear" w:color="auto" w:fill="F0F4FA"/>
          </w:tcPr>
          <w:p>
            <w:pPr>
              <w:spacing w:before="40" w:after="40"/>
            </w:pPr>
            <w:r>
              <w:rPr>
                <w:rFonts w:ascii="Courier New" w:hAnsi="Courier New"/>
                <w:color w:val="C7254E"/>
                <w:sz w:val="19"/>
              </w:rPr>
              <w:t>df.style.map()</w:t>
            </w:r>
            <w:r>
              <w:rPr>
                <w:b w:val="0"/>
                <w:color w:val="2D2D2D"/>
                <w:sz w:val="20"/>
              </w:rPr>
              <w:t xml:space="preserve"> API (not </w:t>
            </w:r>
            <w:r>
              <w:rPr>
                <w:rFonts w:ascii="Courier New" w:hAnsi="Courier New"/>
                <w:color w:val="C7254E"/>
                <w:sz w:val="19"/>
              </w:rPr>
              <w:t>applymap</w:t>
            </w:r>
            <w:r>
              <w:rPr>
                <w:b w:val="0"/>
                <w:color w:val="2D2D2D"/>
                <w:sz w:val="20"/>
              </w:rPr>
              <w:t>) required — confirmed fixed in this version</w:t>
            </w:r>
          </w:p>
        </w:tc>
      </w:tr>
      <w:tr>
        <w:tc>
          <w:tcPr>
            <w:tcW w:type="dxa" w:w="3022"/>
            <w:shd w:val="clear" w:color="auto" w:fill="FFFFFF"/>
          </w:tcPr>
          <w:p>
            <w:pPr>
              <w:spacing w:before="40" w:after="40"/>
            </w:pPr>
            <w:r>
              <w:rPr>
                <w:rFonts w:ascii="Courier New" w:hAnsi="Courier New"/>
                <w:color w:val="C7254E"/>
                <w:sz w:val="19"/>
              </w:rPr>
              <w:t>shap</w:t>
            </w:r>
          </w:p>
        </w:tc>
        <w:tc>
          <w:tcPr>
            <w:tcW w:type="dxa" w:w="3022"/>
            <w:shd w:val="clear" w:color="auto" w:fill="FFFFFF"/>
          </w:tcPr>
          <w:p>
            <w:pPr>
              <w:spacing w:before="40" w:after="40"/>
            </w:pPr>
            <w:r>
              <w:rPr>
                <w:b w:val="0"/>
                <w:color w:val="2D2D2D"/>
                <w:sz w:val="20"/>
              </w:rPr>
              <w:t>≥0.44.0</w:t>
            </w:r>
          </w:p>
        </w:tc>
        <w:tc>
          <w:tcPr>
            <w:tcW w:type="dxa" w:w="3022"/>
            <w:shd w:val="clear" w:color="auto" w:fill="FFFFFF"/>
          </w:tcPr>
          <w:p>
            <w:pPr>
              <w:spacing w:before="40" w:after="40"/>
            </w:pPr>
            <w:r>
              <w:rPr>
                <w:rFonts w:ascii="Courier New" w:hAnsi="Courier New"/>
                <w:color w:val="C7254E"/>
                <w:sz w:val="19"/>
              </w:rPr>
              <w:t>TreeExplainer</w:t>
            </w:r>
            <w:r>
              <w:rPr>
                <w:b w:val="0"/>
                <w:color w:val="2D2D2D"/>
                <w:sz w:val="20"/>
              </w:rPr>
              <w:t xml:space="preserve"> returns 3D ndarray for multi-class RandomForest in newer versions; handled at lines 698–708</w:t>
            </w:r>
          </w:p>
        </w:tc>
      </w:tr>
      <w:tr>
        <w:tc>
          <w:tcPr>
            <w:tcW w:type="dxa" w:w="3022"/>
            <w:shd w:val="clear" w:color="auto" w:fill="F0F4FA"/>
          </w:tcPr>
          <w:p>
            <w:pPr>
              <w:spacing w:before="40" w:after="40"/>
            </w:pPr>
            <w:r>
              <w:rPr>
                <w:rFonts w:ascii="Courier New" w:hAnsi="Courier New"/>
                <w:color w:val="C7254E"/>
                <w:sz w:val="19"/>
              </w:rPr>
              <w:t>ortools</w:t>
            </w:r>
          </w:p>
        </w:tc>
        <w:tc>
          <w:tcPr>
            <w:tcW w:type="dxa" w:w="3022"/>
            <w:shd w:val="clear" w:color="auto" w:fill="F0F4FA"/>
          </w:tcPr>
          <w:p>
            <w:pPr>
              <w:spacing w:before="40" w:after="40"/>
            </w:pPr>
            <w:r>
              <w:rPr>
                <w:b w:val="0"/>
                <w:color w:val="2D2D2D"/>
                <w:sz w:val="20"/>
              </w:rPr>
              <w:t>≥9.8.0</w:t>
            </w:r>
          </w:p>
        </w:tc>
        <w:tc>
          <w:tcPr>
            <w:tcW w:type="dxa" w:w="3022"/>
            <w:shd w:val="clear" w:color="auto" w:fill="F0F4FA"/>
          </w:tcPr>
          <w:p>
            <w:pPr>
              <w:spacing w:before="40" w:after="40"/>
            </w:pPr>
            <w:r>
              <w:rPr>
                <w:b w:val="0"/>
                <w:color w:val="2D2D2D"/>
                <w:sz w:val="20"/>
              </w:rPr>
              <w:t>CP-SAT solver API (</w:t>
            </w:r>
            <w:r>
              <w:rPr>
                <w:rFonts w:ascii="Courier New" w:hAnsi="Courier New"/>
                <w:color w:val="C7254E"/>
                <w:sz w:val="19"/>
              </w:rPr>
              <w:t>cp_model.CpSolver</w:t>
            </w:r>
            <w:r>
              <w:rPr>
                <w:b w:val="0"/>
                <w:color w:val="2D2D2D"/>
                <w:sz w:val="20"/>
              </w:rPr>
              <w:t xml:space="preserve">, </w:t>
            </w:r>
            <w:r>
              <w:rPr>
                <w:rFonts w:ascii="Courier New" w:hAnsi="Courier New"/>
                <w:color w:val="C7254E"/>
                <w:sz w:val="19"/>
              </w:rPr>
              <w:t>solver.solve()</w:t>
            </w:r>
            <w:r>
              <w:rPr>
                <w:b w:val="0"/>
                <w:color w:val="2D2D2D"/>
                <w:sz w:val="20"/>
              </w:rPr>
              <w:t>); earlier versions use different method names</w:t>
            </w:r>
          </w:p>
        </w:tc>
      </w:tr>
      <w:tr>
        <w:tc>
          <w:tcPr>
            <w:tcW w:type="dxa" w:w="3022"/>
            <w:shd w:val="clear" w:color="auto" w:fill="FFFFFF"/>
          </w:tcPr>
          <w:p>
            <w:pPr>
              <w:spacing w:before="40" w:after="40"/>
            </w:pPr>
            <w:r>
              <w:rPr>
                <w:rFonts w:ascii="Courier New" w:hAnsi="Courier New"/>
                <w:color w:val="C7254E"/>
                <w:sz w:val="19"/>
              </w:rPr>
              <w:t>scikit-learn</w:t>
            </w:r>
          </w:p>
        </w:tc>
        <w:tc>
          <w:tcPr>
            <w:tcW w:type="dxa" w:w="3022"/>
            <w:shd w:val="clear" w:color="auto" w:fill="FFFFFF"/>
          </w:tcPr>
          <w:p>
            <w:pPr>
              <w:spacing w:before="40" w:after="40"/>
            </w:pPr>
            <w:r>
              <w:rPr>
                <w:b w:val="0"/>
                <w:color w:val="2D2D2D"/>
                <w:sz w:val="20"/>
              </w:rPr>
              <w:t>≥1.3.0</w:t>
            </w:r>
          </w:p>
        </w:tc>
        <w:tc>
          <w:tcPr>
            <w:tcW w:type="dxa" w:w="3022"/>
            <w:shd w:val="clear" w:color="auto" w:fill="FFFFFF"/>
          </w:tcPr>
          <w:p>
            <w:pPr>
              <w:spacing w:before="40" w:after="40"/>
            </w:pPr>
            <w:r>
              <w:rPr>
                <w:rFonts w:ascii="Courier New" w:hAnsi="Courier New"/>
                <w:color w:val="C7254E"/>
                <w:sz w:val="19"/>
              </w:rPr>
              <w:t>RandomForestClassifier.predict_proba()</w:t>
            </w:r>
            <w:r>
              <w:rPr>
                <w:b w:val="0"/>
                <w:color w:val="2D2D2D"/>
                <w:sz w:val="20"/>
              </w:rPr>
              <w:t xml:space="preserve"> return shape consistency</w:t>
            </w:r>
          </w:p>
        </w:tc>
      </w:tr>
      <w:tr>
        <w:tc>
          <w:tcPr>
            <w:tcW w:type="dxa" w:w="3022"/>
            <w:shd w:val="clear" w:color="auto" w:fill="F0F4FA"/>
          </w:tcPr>
          <w:p>
            <w:pPr>
              <w:spacing w:before="40" w:after="40"/>
            </w:pPr>
            <w:r>
              <w:rPr>
                <w:rFonts w:ascii="Courier New" w:hAnsi="Courier New"/>
                <w:color w:val="C7254E"/>
                <w:sz w:val="19"/>
              </w:rPr>
              <w:t>numpy</w:t>
            </w:r>
          </w:p>
        </w:tc>
        <w:tc>
          <w:tcPr>
            <w:tcW w:type="dxa" w:w="3022"/>
            <w:shd w:val="clear" w:color="auto" w:fill="F0F4FA"/>
          </w:tcPr>
          <w:p>
            <w:pPr>
              <w:spacing w:before="40" w:after="40"/>
            </w:pPr>
            <w:r>
              <w:rPr>
                <w:b w:val="0"/>
                <w:color w:val="2D2D2D"/>
                <w:sz w:val="20"/>
              </w:rPr>
              <w:t>≥1.24.0</w:t>
            </w:r>
          </w:p>
        </w:tc>
        <w:tc>
          <w:tcPr>
            <w:tcW w:type="dxa" w:w="3022"/>
            <w:shd w:val="clear" w:color="auto" w:fill="F0F4FA"/>
          </w:tcPr>
          <w:p>
            <w:pPr>
              <w:spacing w:before="40" w:after="40"/>
            </w:pPr>
            <w:r>
              <w:rPr>
                <w:b w:val="0"/>
                <w:color w:val="2D2D2D"/>
                <w:sz w:val="20"/>
              </w:rPr>
              <w:t>Array operations throughout</w:t>
            </w:r>
          </w:p>
        </w:tc>
      </w:tr>
      <w:tr>
        <w:tc>
          <w:tcPr>
            <w:tcW w:type="dxa" w:w="3022"/>
            <w:shd w:val="clear" w:color="auto" w:fill="FFFFFF"/>
          </w:tcPr>
          <w:p>
            <w:pPr>
              <w:spacing w:before="40" w:after="40"/>
            </w:pPr>
            <w:r>
              <w:rPr>
                <w:rFonts w:ascii="Courier New" w:hAnsi="Courier New"/>
                <w:color w:val="C7254E"/>
                <w:sz w:val="19"/>
              </w:rPr>
              <w:t>pandas</w:t>
            </w:r>
          </w:p>
        </w:tc>
        <w:tc>
          <w:tcPr>
            <w:tcW w:type="dxa" w:w="3022"/>
            <w:shd w:val="clear" w:color="auto" w:fill="FFFFFF"/>
          </w:tcPr>
          <w:p>
            <w:pPr>
              <w:spacing w:before="40" w:after="40"/>
            </w:pPr>
            <w:r>
              <w:rPr>
                <w:b w:val="0"/>
                <w:color w:val="2D2D2D"/>
                <w:sz w:val="20"/>
              </w:rPr>
              <w:t>≥2.0.0</w:t>
            </w:r>
          </w:p>
        </w:tc>
        <w:tc>
          <w:tcPr>
            <w:tcW w:type="dxa" w:w="3022"/>
            <w:shd w:val="clear" w:color="auto" w:fill="FFFFFF"/>
          </w:tcPr>
          <w:p>
            <w:pPr>
              <w:spacing w:before="40" w:after="40"/>
            </w:pPr>
            <w:r>
              <w:rPr>
                <w:rFonts w:ascii="Courier New" w:hAnsi="Courier New"/>
                <w:color w:val="C7254E"/>
                <w:sz w:val="19"/>
              </w:rPr>
              <w:t>df.style.map()</w:t>
            </w:r>
            <w:r>
              <w:rPr>
                <w:b w:val="0"/>
                <w:color w:val="2D2D2D"/>
                <w:sz w:val="20"/>
              </w:rPr>
              <w:t xml:space="preserve"> replaces deprecated </w:t>
            </w:r>
            <w:r>
              <w:rPr>
                <w:rFonts w:ascii="Courier New" w:hAnsi="Courier New"/>
                <w:color w:val="C7254E"/>
                <w:sz w:val="19"/>
              </w:rPr>
              <w:t>applymap()</w:t>
            </w:r>
          </w:p>
        </w:tc>
      </w:tr>
    </w:tbl>
    <w:p/>
    <w:p>
      <w:pPr>
        <w:spacing w:before="40" w:after="120"/>
      </w:pPr>
      <w:r>
        <w:rPr>
          <w:b/>
          <w:color w:val="2D2D2D"/>
          <w:sz w:val="22"/>
        </w:rPr>
        <w:t>Critical sensitivity:</w:t>
      </w:r>
      <w:r>
        <w:rPr>
          <w:b w:val="0"/>
          <w:color w:val="2D2D2D"/>
          <w:sz w:val="22"/>
        </w:rPr>
        <w:t xml:space="preserve"> The SHAP </w:t>
      </w:r>
      <w:r>
        <w:rPr>
          <w:rFonts w:ascii="Courier New" w:hAnsi="Courier New"/>
          <w:color w:val="C7254E"/>
          <w:sz w:val="21"/>
        </w:rPr>
        <w:t>TreeExplainer</w:t>
      </w:r>
      <w:r>
        <w:rPr>
          <w:b w:val="0"/>
          <w:color w:val="2D2D2D"/>
          <w:sz w:val="22"/>
        </w:rPr>
        <w:t xml:space="preserve"> on a multi-class </w:t>
      </w:r>
      <w:r>
        <w:rPr>
          <w:rFonts w:ascii="Courier New" w:hAnsi="Courier New"/>
          <w:color w:val="C7254E"/>
          <w:sz w:val="21"/>
        </w:rPr>
        <w:t>RandomForestClassifier</w:t>
      </w:r>
      <w:r>
        <w:rPr>
          <w:b w:val="0"/>
          <w:color w:val="2D2D2D"/>
          <w:sz w:val="22"/>
        </w:rPr>
        <w:t xml:space="preserve"> returns different array shapes depending on the shap version. The code at lines 698–708 handles three possible shapes (3D ndarray, list of arrays, 2D ndarray) with explicit </w:t>
      </w:r>
      <w:r>
        <w:rPr>
          <w:rFonts w:ascii="Courier New" w:hAnsi="Courier New"/>
          <w:color w:val="C7254E"/>
          <w:sz w:val="21"/>
        </w:rPr>
        <w:t>isinstance</w:t>
      </w:r>
      <w:r>
        <w:rPr>
          <w:b w:val="0"/>
          <w:color w:val="2D2D2D"/>
          <w:sz w:val="22"/>
        </w:rPr>
        <w:t xml:space="preserve"> checks. Do not simplify this without testing across shap versions.</w:t>
      </w:r>
    </w:p>
    <w:p>
      <w:pPr>
        <w:spacing w:before="40" w:after="120"/>
      </w:pPr>
      <w:r>
        <w:rPr>
          <w:b/>
          <w:color w:val="2D2D2D"/>
          <w:sz w:val="22"/>
        </w:rPr>
        <w:t>OR-Tools note:</w:t>
      </w:r>
      <w:r>
        <w:rPr>
          <w:b w:val="0"/>
          <w:color w:val="2D2D2D"/>
          <w:sz w:val="22"/>
        </w:rPr>
        <w:t xml:space="preserve"> The </w:t>
      </w:r>
      <w:r>
        <w:rPr>
          <w:rFonts w:ascii="Courier New" w:hAnsi="Courier New"/>
          <w:color w:val="C7254E"/>
          <w:sz w:val="21"/>
        </w:rPr>
        <w:t>cp_model</w:t>
      </w:r>
      <w:r>
        <w:rPr>
          <w:b w:val="0"/>
          <w:color w:val="2D2D2D"/>
          <w:sz w:val="22"/>
        </w:rPr>
        <w:t xml:space="preserve"> module is imported inside </w:t>
      </w:r>
      <w:r>
        <w:rPr>
          <w:rFonts w:ascii="Courier New" w:hAnsi="Courier New"/>
          <w:color w:val="C7254E"/>
          <w:sz w:val="21"/>
        </w:rPr>
        <w:t>solve_schedule()</w:t>
      </w:r>
      <w:r>
        <w:rPr>
          <w:b w:val="0"/>
          <w:color w:val="2D2D2D"/>
          <w:sz w:val="22"/>
        </w:rPr>
        <w:t xml:space="preserve"> at line 740 rather than at the top of the file. This is intentional — OR-Tools has a slow import on some platforms. Moving it to module scope will work but increases initial load time.</w:t>
      </w:r>
    </w:p>
    <w:p>
      <w:pPr>
        <w:pStyle w:val="Heading2"/>
      </w:pPr>
      <w:r>
        <w:t>How to Swap Simulated Data for Real Data Sources</w:t>
      </w:r>
    </w:p>
    <w:p>
      <w:pPr>
        <w:pStyle w:val="Heading3"/>
      </w:pPr>
      <w:r>
        <w:t>HealthHub API (L1 — Wearable Data)</w:t>
      </w:r>
    </w:p>
    <w:p>
      <w:pPr>
        <w:pStyle w:val="ListBullet"/>
        <w:spacing w:before="20" w:after="40"/>
        <w:ind w:left="283"/>
      </w:pPr>
      <w:r>
        <w:rPr>
          <w:b/>
          <w:color w:val="2D2D2D"/>
          <w:sz w:val="22"/>
        </w:rPr>
        <w:t>Current:</w:t>
      </w:r>
      <w:r>
        <w:rPr>
          <w:b w:val="0"/>
          <w:color w:val="2D2D2D"/>
          <w:sz w:val="22"/>
        </w:rPr>
        <w:t xml:space="preserve"> </w:t>
      </w:r>
      <w:r>
        <w:rPr>
          <w:rFonts w:ascii="Courier New" w:hAnsi="Courier New"/>
          <w:color w:val="C7254E"/>
          <w:sz w:val="21"/>
        </w:rPr>
        <w:t>generate_accelerometer_sequence()</w:t>
      </w:r>
      <w:r>
        <w:rPr>
          <w:b w:val="0"/>
          <w:color w:val="2D2D2D"/>
          <w:sz w:val="22"/>
        </w:rPr>
        <w:t xml:space="preserve"> at line 448 creates synthetic NumPy arrays.</w:t>
      </w:r>
    </w:p>
    <w:p>
      <w:pPr>
        <w:pStyle w:val="ListBullet"/>
        <w:spacing w:before="20" w:after="40"/>
        <w:ind w:left="283"/>
      </w:pPr>
      <w:r>
        <w:rPr>
          <w:b/>
          <w:color w:val="2D2D2D"/>
          <w:sz w:val="22"/>
        </w:rPr>
        <w:t>Replace with:</w:t>
      </w:r>
      <w:r>
        <w:rPr>
          <w:b w:val="0"/>
          <w:color w:val="2D2D2D"/>
          <w:sz w:val="22"/>
        </w:rPr>
        <w:t xml:space="preserve"> Subscribe to the HealthHub API (MOH-issued credentials required). Replace the function body to fetch from the wearable device's real-time WebSocket stream. The </w:t>
      </w:r>
      <w:r>
        <w:rPr>
          <w:rFonts w:ascii="Courier New" w:hAnsi="Courier New"/>
          <w:color w:val="C7254E"/>
          <w:sz w:val="21"/>
        </w:rPr>
        <w:t>buffer</w:t>
      </w:r>
      <w:r>
        <w:rPr>
          <w:b w:val="0"/>
          <w:color w:val="2D2D2D"/>
          <w:sz w:val="22"/>
        </w:rPr>
        <w:t xml:space="preserve"> variable at line 981 must remain a </w:t>
      </w:r>
      <w:r>
        <w:rPr>
          <w:rFonts w:ascii="Courier New" w:hAnsi="Courier New"/>
          <w:color w:val="C7254E"/>
          <w:sz w:val="21"/>
        </w:rPr>
        <w:t>np.ndarray</w:t>
      </w:r>
      <w:r>
        <w:rPr>
          <w:b w:val="0"/>
          <w:color w:val="2D2D2D"/>
          <w:sz w:val="22"/>
        </w:rPr>
        <w:t xml:space="preserve"> of shape </w:t>
      </w:r>
      <w:r>
        <w:rPr>
          <w:rFonts w:ascii="Courier New" w:hAnsi="Courier New"/>
          <w:color w:val="C7254E"/>
          <w:sz w:val="21"/>
        </w:rPr>
        <w:t>(150, 3)</w:t>
      </w:r>
      <w:r>
        <w:rPr>
          <w:b w:val="0"/>
          <w:color w:val="2D2D2D"/>
          <w:sz w:val="22"/>
        </w:rPr>
        <w:t xml:space="preserve"> — the rest of the pipeline is unchanged.</w:t>
      </w:r>
    </w:p>
    <w:p>
      <w:pPr>
        <w:pStyle w:val="Heading3"/>
      </w:pPr>
      <w:r>
        <w:t>NEHR (L2 — Patient Health Records)</w:t>
      </w:r>
    </w:p>
    <w:p>
      <w:pPr>
        <w:pStyle w:val="ListBullet"/>
        <w:spacing w:before="20" w:after="40"/>
        <w:ind w:left="283"/>
      </w:pPr>
      <w:r>
        <w:rPr>
          <w:b/>
          <w:color w:val="2D2D2D"/>
          <w:sz w:val="22"/>
        </w:rPr>
        <w:t>Current:</w:t>
      </w:r>
      <w:r>
        <w:rPr>
          <w:b w:val="0"/>
          <w:color w:val="2D2D2D"/>
          <w:sz w:val="22"/>
        </w:rPr>
        <w:t xml:space="preserve"> </w:t>
      </w:r>
      <w:r>
        <w:rPr>
          <w:rFonts w:ascii="Courier New" w:hAnsi="Courier New"/>
          <w:color w:val="C7254E"/>
          <w:sz w:val="21"/>
        </w:rPr>
        <w:t>generate_singapore_seniors()</w:t>
      </w:r>
      <w:r>
        <w:rPr>
          <w:b w:val="0"/>
          <w:color w:val="2D2D2D"/>
          <w:sz w:val="22"/>
        </w:rPr>
        <w:t xml:space="preserve"> at line 385 hardcodes 20 seniors with manually assigned </w:t>
      </w:r>
      <w:r>
        <w:rPr>
          <w:rFonts w:ascii="Courier New" w:hAnsi="Courier New"/>
          <w:color w:val="C7254E"/>
          <w:sz w:val="21"/>
        </w:rPr>
        <w:t>SeniorFeatures</w:t>
      </w:r>
      <w:r>
        <w:rPr>
          <w:b w:val="0"/>
          <w:color w:val="2D2D2D"/>
          <w:sz w:val="22"/>
        </w:rPr>
        <w:t>.</w:t>
      </w:r>
    </w:p>
    <w:p>
      <w:pPr>
        <w:pStyle w:val="ListBullet"/>
        <w:spacing w:before="20" w:after="40"/>
        <w:ind w:left="283"/>
      </w:pPr>
      <w:r>
        <w:rPr>
          <w:b/>
          <w:color w:val="2D2D2D"/>
          <w:sz w:val="22"/>
        </w:rPr>
        <w:t>Replace with:</w:t>
      </w:r>
      <w:r>
        <w:rPr>
          <w:b w:val="0"/>
          <w:color w:val="2D2D2D"/>
          <w:sz w:val="22"/>
        </w:rPr>
        <w:t xml:space="preserve"> Query NEHR's FHIR endpoint (IHiS-issued API key) for the care agency's registered patients. Map FHIR </w:t>
      </w:r>
      <w:r>
        <w:rPr>
          <w:rFonts w:ascii="Courier New" w:hAnsi="Courier New"/>
          <w:color w:val="C7254E"/>
          <w:sz w:val="21"/>
        </w:rPr>
        <w:t>Observation</w:t>
      </w:r>
      <w:r>
        <w:rPr>
          <w:b w:val="0"/>
          <w:color w:val="2D2D2D"/>
          <w:sz w:val="22"/>
        </w:rPr>
        <w:t xml:space="preserve"> resources to the </w:t>
      </w:r>
      <w:r>
        <w:rPr>
          <w:rFonts w:ascii="Courier New" w:hAnsi="Courier New"/>
          <w:color w:val="C7254E"/>
          <w:sz w:val="21"/>
        </w:rPr>
        <w:t>SeniorFeatures</w:t>
      </w:r>
      <w:r>
        <w:rPr>
          <w:b w:val="0"/>
          <w:color w:val="2D2D2D"/>
          <w:sz w:val="22"/>
        </w:rPr>
        <w:t xml:space="preserve"> dataclass fields at lines 237–246. The </w:t>
      </w:r>
      <w:r>
        <w:rPr>
          <w:rFonts w:ascii="Courier New" w:hAnsi="Courier New"/>
          <w:color w:val="C7254E"/>
          <w:sz w:val="21"/>
        </w:rPr>
        <w:t>HealthRiskPredictor</w:t>
      </w:r>
      <w:r>
        <w:rPr>
          <w:b w:val="0"/>
          <w:color w:val="2D2D2D"/>
          <w:sz w:val="22"/>
        </w:rPr>
        <w:t xml:space="preserve"> at line 644 retrains on each session start — it will automatically adapt to new data shapes, provided all 7 feature columns are present.</w:t>
      </w:r>
    </w:p>
    <w:p>
      <w:pPr>
        <w:pStyle w:val="Heading3"/>
      </w:pPr>
      <w:r>
        <w:t>AIC Care Records (L3 — Caregiver Roster)</w:t>
      </w:r>
    </w:p>
    <w:p>
      <w:pPr>
        <w:pStyle w:val="ListBullet"/>
        <w:spacing w:before="20" w:after="40"/>
        <w:ind w:left="283"/>
      </w:pPr>
      <w:r>
        <w:rPr>
          <w:b/>
          <w:color w:val="2D2D2D"/>
          <w:sz w:val="22"/>
        </w:rPr>
        <w:t>Current:</w:t>
      </w:r>
      <w:r>
        <w:rPr>
          <w:b w:val="0"/>
          <w:color w:val="2D2D2D"/>
          <w:sz w:val="22"/>
        </w:rPr>
        <w:t xml:space="preserve"> </w:t>
      </w:r>
      <w:r>
        <w:rPr>
          <w:rFonts w:ascii="Courier New" w:hAnsi="Courier New"/>
          <w:color w:val="C7254E"/>
          <w:sz w:val="21"/>
        </w:rPr>
        <w:t>generate_caregivers()</w:t>
      </w:r>
      <w:r>
        <w:rPr>
          <w:b w:val="0"/>
          <w:color w:val="2D2D2D"/>
          <w:sz w:val="22"/>
        </w:rPr>
        <w:t xml:space="preserve"> at line 438 hardcodes 5 caregivers.</w:t>
      </w:r>
    </w:p>
    <w:p>
      <w:pPr>
        <w:pStyle w:val="ListBullet"/>
        <w:spacing w:before="20" w:after="40"/>
        <w:ind w:left="283"/>
      </w:pPr>
      <w:r>
        <w:rPr>
          <w:b/>
          <w:color w:val="2D2D2D"/>
          <w:sz w:val="22"/>
        </w:rPr>
        <w:t>Replace with:</w:t>
      </w:r>
      <w:r>
        <w:rPr>
          <w:b w:val="0"/>
          <w:color w:val="2D2D2D"/>
          <w:sz w:val="22"/>
        </w:rPr>
        <w:t xml:space="preserve"> Call the agency's HR or scheduling system API. Map each caregiver's record to the </w:t>
      </w:r>
      <w:r>
        <w:rPr>
          <w:rFonts w:ascii="Courier New" w:hAnsi="Courier New"/>
          <w:color w:val="C7254E"/>
          <w:sz w:val="21"/>
        </w:rPr>
        <w:t>Caregiver</w:t>
      </w:r>
      <w:r>
        <w:rPr>
          <w:b w:val="0"/>
          <w:color w:val="2D2D2D"/>
          <w:sz w:val="22"/>
        </w:rPr>
        <w:t xml:space="preserve"> dataclass at lines 260–270. The MILP solver at line 735 accepts any list of </w:t>
      </w:r>
      <w:r>
        <w:rPr>
          <w:rFonts w:ascii="Courier New" w:hAnsi="Courier New"/>
          <w:color w:val="C7254E"/>
          <w:sz w:val="21"/>
        </w:rPr>
        <w:t>Senior</w:t>
      </w:r>
      <w:r>
        <w:rPr>
          <w:b w:val="0"/>
          <w:color w:val="2D2D2D"/>
          <w:sz w:val="22"/>
        </w:rPr>
        <w:t xml:space="preserve"> and </w:t>
      </w:r>
      <w:r>
        <w:rPr>
          <w:rFonts w:ascii="Courier New" w:hAnsi="Courier New"/>
          <w:color w:val="C7254E"/>
          <w:sz w:val="21"/>
        </w:rPr>
        <w:t>Caregiver</w:t>
      </w:r>
      <w:r>
        <w:rPr>
          <w:b w:val="0"/>
          <w:color w:val="2D2D2D"/>
          <w:sz w:val="22"/>
        </w:rPr>
        <w:t xml:space="preserve"> objects — no solver changes needed.</w:t>
      </w:r>
    </w:p>
    <w:p>
      <w:pPr>
        <w:pStyle w:val="Heading2"/>
      </w:pPr>
      <w:r>
        <w:t>How to Retrain the Model with New Data</w:t>
      </w:r>
    </w:p>
    <w:p>
      <w:pPr>
        <w:spacing w:before="40" w:after="120"/>
      </w:pPr>
      <w:r>
        <w:rPr>
          <w:b w:val="0"/>
          <w:color w:val="2D2D2D"/>
          <w:sz w:val="22"/>
        </w:rPr>
        <w:t xml:space="preserve">The health risk model is a </w:t>
      </w:r>
      <w:r>
        <w:rPr>
          <w:rFonts w:ascii="Courier New" w:hAnsi="Courier New"/>
          <w:color w:val="C7254E"/>
          <w:sz w:val="21"/>
        </w:rPr>
        <w:t>RandomForestClassifier</w:t>
      </w:r>
      <w:r>
        <w:rPr>
          <w:b w:val="0"/>
          <w:color w:val="2D2D2D"/>
          <w:sz w:val="22"/>
        </w:rPr>
        <w:t xml:space="preserve"> (note: the README and brief say XGBoost, but the implementation uses scikit-learn RandomForest — see </w:t>
      </w:r>
      <w:r>
        <w:rPr>
          <w:rFonts w:ascii="Courier New" w:hAnsi="Courier New"/>
          <w:color w:val="C7254E"/>
          <w:sz w:val="21"/>
        </w:rPr>
        <w:t>HealthRiskPredictor.__init__()</w:t>
      </w:r>
      <w:r>
        <w:rPr>
          <w:b w:val="0"/>
          <w:color w:val="2D2D2D"/>
          <w:sz w:val="22"/>
        </w:rPr>
        <w:t xml:space="preserve"> at line 644). To retrain with real clinical data:</w:t>
      </w:r>
    </w:p>
    <w:p>
      <w:pPr>
        <w:spacing w:before="20" w:after="20"/>
        <w:ind w:left="567"/>
        <w:shd w:val="clear" w:color="auto" w:fill="F3F4F6"/>
      </w:pPr>
      <w:r>
        <w:rPr>
          <w:rFonts w:ascii="Courier New" w:hAnsi="Courier New"/>
          <w:color w:val="1A1A2E"/>
          <w:sz w:val="18"/>
        </w:rPr>
        <w:t>import pandas as pd</w:t>
      </w:r>
    </w:p>
    <w:p>
      <w:pPr>
        <w:spacing w:before="20" w:after="20"/>
        <w:ind w:left="567"/>
        <w:shd w:val="clear" w:color="auto" w:fill="F3F4F6"/>
      </w:pPr>
      <w:r>
        <w:rPr>
          <w:rFonts w:ascii="Courier New" w:hAnsi="Courier New"/>
          <w:color w:val="1A1A2E"/>
          <w:sz w:val="18"/>
        </w:rPr>
        <w:t>from sklearn.ensemble import RandomForestClassifier</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df = pd.read_csv('real_patient_data.csv')</w:t>
      </w:r>
    </w:p>
    <w:p>
      <w:pPr>
        <w:spacing w:before="20" w:after="20"/>
        <w:ind w:left="567"/>
        <w:shd w:val="clear" w:color="auto" w:fill="F3F4F6"/>
      </w:pPr>
      <w:r>
        <w:rPr>
          <w:rFonts w:ascii="Courier New" w:hAnsi="Courier New"/>
          <w:color w:val="1A1A2E"/>
          <w:sz w:val="18"/>
        </w:rPr>
        <w:t># Required columns: age, resting_hr, spo2, sleep_hours,</w:t>
      </w:r>
    </w:p>
    <w:p>
      <w:pPr>
        <w:spacing w:before="20" w:after="20"/>
        <w:ind w:left="567"/>
        <w:shd w:val="clear" w:color="auto" w:fill="F3F4F6"/>
      </w:pPr>
      <w:r>
        <w:rPr>
          <w:rFonts w:ascii="Courier New" w:hAnsi="Courier New"/>
          <w:color w:val="1A1A2E"/>
          <w:sz w:val="18"/>
        </w:rPr>
        <w:t>#                   step_count, prev_hospitalisations, frailty_index, risk_label</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X_train = df[['age','resting_hr','spo2','sleep_hours',</w:t>
      </w:r>
    </w:p>
    <w:p>
      <w:pPr>
        <w:spacing w:before="20" w:after="20"/>
        <w:ind w:left="567"/>
        <w:shd w:val="clear" w:color="auto" w:fill="F3F4F6"/>
      </w:pPr>
      <w:r>
        <w:rPr>
          <w:rFonts w:ascii="Courier New" w:hAnsi="Courier New"/>
          <w:color w:val="1A1A2E"/>
          <w:sz w:val="18"/>
        </w:rPr>
        <w:t xml:space="preserve">              'step_count','prev_hospitalisations','frailty_index']].values</w:t>
      </w:r>
    </w:p>
    <w:p>
      <w:pPr>
        <w:spacing w:before="20" w:after="20"/>
        <w:ind w:left="567"/>
        <w:shd w:val="clear" w:color="auto" w:fill="F3F4F6"/>
      </w:pPr>
      <w:r>
        <w:rPr>
          <w:rFonts w:ascii="Courier New" w:hAnsi="Courier New"/>
          <w:color w:val="1A1A2E"/>
          <w:sz w:val="18"/>
        </w:rPr>
        <w:t>y_train = df['risk_label'].values   # 0=Low, 1=Medium, 2=High</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model = RandomForestClassifier(n_estimators=100, max_depth=4, random_state=42)</w:t>
      </w:r>
    </w:p>
    <w:p>
      <w:pPr>
        <w:spacing w:before="20" w:after="20"/>
        <w:ind w:left="567"/>
        <w:shd w:val="clear" w:color="auto" w:fill="F3F4F6"/>
      </w:pPr>
      <w:r>
        <w:rPr>
          <w:rFonts w:ascii="Courier New" w:hAnsi="Courier New"/>
          <w:color w:val="1A1A2E"/>
          <w:sz w:val="18"/>
        </w:rPr>
        <w:t>model.fit(X_train, y_train)</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 Persist to avoid cold-start retraining:</w:t>
      </w:r>
    </w:p>
    <w:p>
      <w:pPr>
        <w:spacing w:before="20" w:after="20"/>
        <w:ind w:left="567"/>
        <w:shd w:val="clear" w:color="auto" w:fill="F3F4F6"/>
      </w:pPr>
      <w:r>
        <w:rPr>
          <w:rFonts w:ascii="Courier New" w:hAnsi="Courier New"/>
          <w:color w:val="1A1A2E"/>
          <w:sz w:val="18"/>
        </w:rPr>
        <w:t>import joblib</w:t>
      </w:r>
    </w:p>
    <w:p>
      <w:pPr>
        <w:spacing w:before="20" w:after="20"/>
        <w:ind w:left="567"/>
        <w:shd w:val="clear" w:color="auto" w:fill="F3F4F6"/>
      </w:pPr>
      <w:r>
        <w:rPr>
          <w:rFonts w:ascii="Courier New" w:hAnsi="Courier New"/>
          <w:color w:val="1A1A2E"/>
          <w:sz w:val="18"/>
        </w:rPr>
        <w:t>joblib.dump(model, 'model.pkl')</w:t>
      </w:r>
    </w:p>
    <w:p>
      <w:pPr>
        <w:spacing w:before="20" w:after="20"/>
        <w:ind w:left="567"/>
        <w:shd w:val="clear" w:color="auto" w:fill="F3F4F6"/>
      </w:pPr>
      <w:r>
        <w:rPr>
          <w:rFonts w:ascii="Courier New" w:hAnsi="Courier New"/>
          <w:color w:val="1A1A2E"/>
          <w:sz w:val="18"/>
        </w:rPr>
      </w:r>
    </w:p>
    <w:p>
      <w:pPr>
        <w:spacing w:before="20" w:after="20"/>
        <w:ind w:left="567"/>
        <w:shd w:val="clear" w:color="auto" w:fill="F3F4F6"/>
      </w:pPr>
      <w:r>
        <w:rPr>
          <w:rFonts w:ascii="Courier New" w:hAnsi="Courier New"/>
          <w:color w:val="1A1A2E"/>
          <w:sz w:val="18"/>
        </w:rPr>
        <w:t># To switch to XGBoost as originally specified:</w:t>
      </w:r>
    </w:p>
    <w:p>
      <w:pPr>
        <w:spacing w:before="20" w:after="20"/>
        <w:ind w:left="567"/>
        <w:shd w:val="clear" w:color="auto" w:fill="F3F4F6"/>
      </w:pPr>
      <w:r>
        <w:rPr>
          <w:rFonts w:ascii="Courier New" w:hAnsi="Courier New"/>
          <w:color w:val="1A1A2E"/>
          <w:sz w:val="18"/>
        </w:rPr>
        <w:t># from xgboost import XGBClassifier</w:t>
      </w:r>
    </w:p>
    <w:p>
      <w:pPr>
        <w:spacing w:before="20" w:after="20"/>
        <w:ind w:left="567"/>
        <w:shd w:val="clear" w:color="auto" w:fill="F3F4F6"/>
      </w:pPr>
      <w:r>
        <w:rPr>
          <w:rFonts w:ascii="Courier New" w:hAnsi="Courier New"/>
          <w:color w:val="1A1A2E"/>
          <w:sz w:val="18"/>
        </w:rPr>
        <w:t># model = XGBClassifier(n_estimators=100, max_depth=4)</w:t>
      </w:r>
    </w:p>
    <w:p>
      <w:pPr>
        <w:spacing w:before="20" w:after="20"/>
        <w:ind w:left="567"/>
        <w:shd w:val="clear" w:color="auto" w:fill="F3F4F6"/>
      </w:pPr>
      <w:r>
        <w:rPr>
          <w:rFonts w:ascii="Courier New" w:hAnsi="Courier New"/>
          <w:color w:val="1A1A2E"/>
          <w:sz w:val="18"/>
        </w:rPr>
        <w:t># shap.TreeExplainer is compatible with both sklearn and XGBoost</w:t>
      </w:r>
    </w:p>
    <w:p>
      <w:pPr>
        <w:pStyle w:val="Heading2"/>
      </w:pPr>
      <w:r>
        <w:t>Known Technical Debt and Suggested Next Steps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Issue</w:t>
            </w:r>
          </w:p>
        </w:tc>
        <w:tc>
          <w:tcPr>
            <w:tcW w:type="dxa" w:w="3022"/>
            <w:shd w:val="clear" w:color="auto" w:fill="1E3A5F"/>
          </w:tcPr>
          <w:p>
            <w:pPr>
              <w:spacing w:before="60" w:after="60"/>
            </w:pPr>
            <w:r>
              <w:rPr>
                <w:rFonts w:ascii="Calibri" w:hAnsi="Calibri"/>
                <w:b/>
                <w:color w:val="FFFFFF"/>
                <w:sz w:val="20"/>
              </w:rPr>
              <w:t>Severity</w:t>
            </w:r>
          </w:p>
        </w:tc>
        <w:tc>
          <w:tcPr>
            <w:tcW w:type="dxa" w:w="3022"/>
            <w:shd w:val="clear" w:color="auto" w:fill="1E3A5F"/>
          </w:tcPr>
          <w:p>
            <w:pPr>
              <w:spacing w:before="60" w:after="60"/>
            </w:pPr>
            <w:r>
              <w:rPr>
                <w:rFonts w:ascii="Calibri" w:hAnsi="Calibri"/>
                <w:b/>
                <w:color w:val="FFFFFF"/>
                <w:sz w:val="20"/>
              </w:rPr>
              <w:t>Suggested Fix</w:t>
            </w:r>
          </w:p>
        </w:tc>
      </w:tr>
      <w:tr>
        <w:tc>
          <w:tcPr>
            <w:tcW w:type="dxa" w:w="3022"/>
            <w:shd w:val="clear" w:color="auto" w:fill="F0F4FA"/>
          </w:tcPr>
          <w:p>
            <w:pPr>
              <w:spacing w:before="40" w:after="40"/>
            </w:pPr>
            <w:r>
              <w:rPr>
                <w:b w:val="0"/>
                <w:color w:val="2D2D2D"/>
                <w:sz w:val="20"/>
              </w:rPr>
              <w:t>Single-file architecture (1,540 lines)</w:t>
            </w:r>
          </w:p>
        </w:tc>
        <w:tc>
          <w:tcPr>
            <w:tcW w:type="dxa" w:w="3022"/>
            <w:shd w:val="clear" w:color="auto" w:fill="F0F4FA"/>
          </w:tcPr>
          <w:p>
            <w:pPr>
              <w:spacing w:before="40" w:after="40"/>
            </w:pPr>
            <w:r>
              <w:rPr>
                <w:b w:val="0"/>
                <w:color w:val="2D2D2D"/>
                <w:sz w:val="20"/>
              </w:rPr>
              <w:t>Medium</w:t>
            </w:r>
          </w:p>
        </w:tc>
        <w:tc>
          <w:tcPr>
            <w:tcW w:type="dxa" w:w="3022"/>
            <w:shd w:val="clear" w:color="auto" w:fill="F0F4FA"/>
          </w:tcPr>
          <w:p>
            <w:pPr>
              <w:spacing w:before="40" w:after="40"/>
            </w:pPr>
            <w:r>
              <w:rPr>
                <w:b w:val="0"/>
                <w:color w:val="2D2D2D"/>
                <w:sz w:val="20"/>
              </w:rPr>
              <w:t>Split into layers/l1.py, l2.py, l3.py, l4.py, data/generators.py</w:t>
            </w:r>
          </w:p>
        </w:tc>
      </w:tr>
      <w:tr>
        <w:tc>
          <w:tcPr>
            <w:tcW w:type="dxa" w:w="3022"/>
            <w:shd w:val="clear" w:color="auto" w:fill="FFFFFF"/>
          </w:tcPr>
          <w:p>
            <w:pPr>
              <w:spacing w:before="40" w:after="40"/>
            </w:pPr>
            <w:r>
              <w:rPr>
                <w:b w:val="0"/>
                <w:color w:val="2D2D2D"/>
                <w:sz w:val="20"/>
              </w:rPr>
              <w:t>No authentication or RBAC</w:t>
            </w:r>
          </w:p>
        </w:tc>
        <w:tc>
          <w:tcPr>
            <w:tcW w:type="dxa" w:w="3022"/>
            <w:shd w:val="clear" w:color="auto" w:fill="FFFFFF"/>
          </w:tcPr>
          <w:p>
            <w:pPr>
              <w:spacing w:before="40" w:after="40"/>
            </w:pPr>
            <w:r>
              <w:rPr>
                <w:b w:val="0"/>
                <w:color w:val="2D2D2D"/>
                <w:sz w:val="20"/>
              </w:rPr>
              <w:t>High (production)</w:t>
            </w:r>
          </w:p>
        </w:tc>
        <w:tc>
          <w:tcPr>
            <w:tcW w:type="dxa" w:w="3022"/>
            <w:shd w:val="clear" w:color="auto" w:fill="FFFFFF"/>
          </w:tcPr>
          <w:p>
            <w:pPr>
              <w:spacing w:before="40" w:after="40"/>
            </w:pPr>
            <w:r>
              <w:rPr>
                <w:b w:val="0"/>
                <w:color w:val="2D2D2D"/>
                <w:sz w:val="20"/>
              </w:rPr>
              <w:t>Add Streamlit-Authenticator or OAuth2 gateway</w:t>
            </w:r>
          </w:p>
        </w:tc>
      </w:tr>
      <w:tr>
        <w:tc>
          <w:tcPr>
            <w:tcW w:type="dxa" w:w="3022"/>
            <w:shd w:val="clear" w:color="auto" w:fill="F0F4FA"/>
          </w:tcPr>
          <w:p>
            <w:pPr>
              <w:spacing w:before="40" w:after="40"/>
            </w:pPr>
            <w:r>
              <w:rPr>
                <w:b w:val="0"/>
                <w:color w:val="2D2D2D"/>
                <w:sz w:val="20"/>
              </w:rPr>
              <w:t>Models retrain on every cold start</w:t>
            </w:r>
          </w:p>
        </w:tc>
        <w:tc>
          <w:tcPr>
            <w:tcW w:type="dxa" w:w="3022"/>
            <w:shd w:val="clear" w:color="auto" w:fill="F0F4FA"/>
          </w:tcPr>
          <w:p>
            <w:pPr>
              <w:spacing w:before="40" w:after="40"/>
            </w:pPr>
            <w:r>
              <w:rPr>
                <w:b w:val="0"/>
                <w:color w:val="2D2D2D"/>
                <w:sz w:val="20"/>
              </w:rPr>
              <w:t>Medium</w:t>
            </w:r>
          </w:p>
        </w:tc>
        <w:tc>
          <w:tcPr>
            <w:tcW w:type="dxa" w:w="3022"/>
            <w:shd w:val="clear" w:color="auto" w:fill="F0F4FA"/>
          </w:tcPr>
          <w:p>
            <w:pPr>
              <w:spacing w:before="40" w:after="40"/>
            </w:pPr>
            <w:r>
              <w:rPr>
                <w:b w:val="0"/>
                <w:color w:val="2D2D2D"/>
                <w:sz w:val="20"/>
              </w:rPr>
              <w:t>Persist models with joblib; load from disk at startup</w:t>
            </w:r>
          </w:p>
        </w:tc>
      </w:tr>
      <w:tr>
        <w:tc>
          <w:tcPr>
            <w:tcW w:type="dxa" w:w="3022"/>
            <w:shd w:val="clear" w:color="auto" w:fill="FFFFFF"/>
          </w:tcPr>
          <w:p>
            <w:pPr>
              <w:spacing w:before="40" w:after="40"/>
            </w:pPr>
            <w:r>
              <w:rPr>
                <w:b w:val="0"/>
                <w:color w:val="2D2D2D"/>
                <w:sz w:val="20"/>
              </w:rPr>
              <w:t>No persistent storage (session state only)</w:t>
            </w:r>
          </w:p>
        </w:tc>
        <w:tc>
          <w:tcPr>
            <w:tcW w:type="dxa" w:w="3022"/>
            <w:shd w:val="clear" w:color="auto" w:fill="FFFFFF"/>
          </w:tcPr>
          <w:p>
            <w:pPr>
              <w:spacing w:before="40" w:after="40"/>
            </w:pPr>
            <w:r>
              <w:rPr>
                <w:b w:val="0"/>
                <w:color w:val="2D2D2D"/>
                <w:sz w:val="20"/>
              </w:rPr>
              <w:t>High (production)</w:t>
            </w:r>
          </w:p>
        </w:tc>
        <w:tc>
          <w:tcPr>
            <w:tcW w:type="dxa" w:w="3022"/>
            <w:shd w:val="clear" w:color="auto" w:fill="FFFFFF"/>
          </w:tcPr>
          <w:p>
            <w:pPr>
              <w:spacing w:before="40" w:after="40"/>
            </w:pPr>
            <w:r>
              <w:rPr>
                <w:b w:val="0"/>
                <w:color w:val="2D2D2D"/>
                <w:sz w:val="20"/>
              </w:rPr>
              <w:t>Add PostgreSQL backend for audit logs and care records</w:t>
            </w:r>
          </w:p>
        </w:tc>
      </w:tr>
      <w:tr>
        <w:tc>
          <w:tcPr>
            <w:tcW w:type="dxa" w:w="3022"/>
            <w:shd w:val="clear" w:color="auto" w:fill="F0F4FA"/>
          </w:tcPr>
          <w:p>
            <w:pPr>
              <w:spacing w:before="40" w:after="40"/>
            </w:pPr>
            <w:r>
              <w:rPr>
                <w:b w:val="0"/>
                <w:color w:val="2D2D2D"/>
                <w:sz w:val="20"/>
              </w:rPr>
              <w:t>L3 schedules only one day</w:t>
            </w:r>
          </w:p>
        </w:tc>
        <w:tc>
          <w:tcPr>
            <w:tcW w:type="dxa" w:w="3022"/>
            <w:shd w:val="clear" w:color="auto" w:fill="F0F4FA"/>
          </w:tcPr>
          <w:p>
            <w:pPr>
              <w:spacing w:before="40" w:after="40"/>
            </w:pPr>
            <w:r>
              <w:rPr>
                <w:b w:val="0"/>
                <w:color w:val="2D2D2D"/>
                <w:sz w:val="20"/>
              </w:rPr>
              <w:t>Medium</w:t>
            </w:r>
          </w:p>
        </w:tc>
        <w:tc>
          <w:tcPr>
            <w:tcW w:type="dxa" w:w="3022"/>
            <w:shd w:val="clear" w:color="auto" w:fill="F0F4FA"/>
          </w:tcPr>
          <w:p>
            <w:pPr>
              <w:spacing w:before="40" w:after="40"/>
            </w:pPr>
            <w:r>
              <w:rPr>
                <w:b w:val="0"/>
                <w:color w:val="2D2D2D"/>
                <w:sz w:val="20"/>
              </w:rPr>
              <w:t>Extend MILP to weekly horizon with shift-pattern constraints</w:t>
            </w:r>
          </w:p>
        </w:tc>
      </w:tr>
      <w:tr>
        <w:tc>
          <w:tcPr>
            <w:tcW w:type="dxa" w:w="3022"/>
            <w:shd w:val="clear" w:color="auto" w:fill="FFFFFF"/>
          </w:tcPr>
          <w:p>
            <w:pPr>
              <w:spacing w:before="40" w:after="40"/>
            </w:pPr>
            <w:r>
              <w:rPr>
                <w:b w:val="0"/>
                <w:color w:val="2D2D2D"/>
                <w:sz w:val="20"/>
              </w:rPr>
              <w:t>NEHR_LOG is simulated</w:t>
            </w:r>
          </w:p>
        </w:tc>
        <w:tc>
          <w:tcPr>
            <w:tcW w:type="dxa" w:w="3022"/>
            <w:shd w:val="clear" w:color="auto" w:fill="FFFFFF"/>
          </w:tcPr>
          <w:p>
            <w:pPr>
              <w:spacing w:before="40" w:after="40"/>
            </w:pPr>
            <w:r>
              <w:rPr>
                <w:b w:val="0"/>
                <w:color w:val="2D2D2D"/>
                <w:sz w:val="20"/>
              </w:rPr>
              <w:t>High (production)</w:t>
            </w:r>
          </w:p>
        </w:tc>
        <w:tc>
          <w:tcPr>
            <w:tcW w:type="dxa" w:w="3022"/>
            <w:shd w:val="clear" w:color="auto" w:fill="FFFFFF"/>
          </w:tcPr>
          <w:p>
            <w:pPr>
              <w:spacing w:before="40" w:after="40"/>
            </w:pPr>
            <w:r>
              <w:rPr>
                <w:b w:val="0"/>
                <w:color w:val="2D2D2D"/>
                <w:sz w:val="20"/>
              </w:rPr>
              <w:t>Implement real NEHR FHIR write via IHiS API</w:t>
            </w:r>
          </w:p>
        </w:tc>
      </w:tr>
      <w:tr>
        <w:tc>
          <w:tcPr>
            <w:tcW w:type="dxa" w:w="3022"/>
            <w:shd w:val="clear" w:color="auto" w:fill="F0F4FA"/>
          </w:tcPr>
          <w:p>
            <w:pPr>
              <w:spacing w:before="40" w:after="40"/>
            </w:pPr>
            <w:r>
              <w:rPr>
                <w:b w:val="0"/>
                <w:color w:val="2D2D2D"/>
                <w:sz w:val="20"/>
              </w:rPr>
              <w:t>No unit tests</w:t>
            </w:r>
          </w:p>
        </w:tc>
        <w:tc>
          <w:tcPr>
            <w:tcW w:type="dxa" w:w="3022"/>
            <w:shd w:val="clear" w:color="auto" w:fill="F0F4FA"/>
          </w:tcPr>
          <w:p>
            <w:pPr>
              <w:spacing w:before="40" w:after="40"/>
            </w:pPr>
            <w:r>
              <w:rPr>
                <w:b w:val="0"/>
                <w:color w:val="2D2D2D"/>
                <w:sz w:val="20"/>
              </w:rPr>
              <w:t>High</w:t>
            </w:r>
          </w:p>
        </w:tc>
        <w:tc>
          <w:tcPr>
            <w:tcW w:type="dxa" w:w="3022"/>
            <w:shd w:val="clear" w:color="auto" w:fill="F0F4FA"/>
          </w:tcPr>
          <w:p>
            <w:pPr>
              <w:spacing w:before="40" w:after="40"/>
            </w:pPr>
            <w:r>
              <w:rPr>
                <w:b w:val="0"/>
                <w:color w:val="2D2D2D"/>
                <w:sz w:val="20"/>
              </w:rPr>
              <w:t>Add pytest suite covering solve_schedule(), decide_actions(), extract_features()</w:t>
            </w:r>
          </w:p>
        </w:tc>
      </w:tr>
      <w:tr>
        <w:tc>
          <w:tcPr>
            <w:tcW w:type="dxa" w:w="3022"/>
            <w:shd w:val="clear" w:color="auto" w:fill="FFFFFF"/>
          </w:tcPr>
          <w:p>
            <w:pPr>
              <w:spacing w:before="40" w:after="40"/>
            </w:pPr>
            <w:r>
              <w:rPr>
                <w:b w:val="0"/>
                <w:color w:val="2D2D2D"/>
                <w:sz w:val="20"/>
              </w:rPr>
              <w:t>Typhoon countdown uses Streamlit rerun loop</w:t>
            </w:r>
          </w:p>
        </w:tc>
        <w:tc>
          <w:tcPr>
            <w:tcW w:type="dxa" w:w="3022"/>
            <w:shd w:val="clear" w:color="auto" w:fill="FFFFFF"/>
          </w:tcPr>
          <w:p>
            <w:pPr>
              <w:spacing w:before="40" w:after="40"/>
            </w:pPr>
            <w:r>
              <w:rPr>
                <w:b w:val="0"/>
                <w:color w:val="2D2D2D"/>
                <w:sz w:val="20"/>
              </w:rPr>
              <w:t>Low</w:t>
            </w:r>
          </w:p>
        </w:tc>
        <w:tc>
          <w:tcPr>
            <w:tcW w:type="dxa" w:w="3022"/>
            <w:shd w:val="clear" w:color="auto" w:fill="FFFFFF"/>
          </w:tcPr>
          <w:p>
            <w:pPr>
              <w:spacing w:before="40" w:after="40"/>
            </w:pPr>
            <w:r>
              <w:rPr>
                <w:b w:val="0"/>
                <w:color w:val="2D2D2D"/>
                <w:sz w:val="20"/>
              </w:rPr>
              <w:t>Replace with proper async state management</w:t>
            </w:r>
          </w:p>
        </w:tc>
      </w:tr>
      <w:tr>
        <w:tc>
          <w:tcPr>
            <w:tcW w:type="dxa" w:w="3022"/>
            <w:shd w:val="clear" w:color="auto" w:fill="F0F4FA"/>
          </w:tcPr>
          <w:p>
            <w:pPr>
              <w:spacing w:before="40" w:after="40"/>
            </w:pPr>
            <w:r>
              <w:rPr>
                <w:b w:val="0"/>
                <w:color w:val="2D2D2D"/>
                <w:sz w:val="20"/>
              </w:rPr>
              <w:t>CSS via unsafe_allow_html</w:t>
            </w:r>
          </w:p>
        </w:tc>
        <w:tc>
          <w:tcPr>
            <w:tcW w:type="dxa" w:w="3022"/>
            <w:shd w:val="clear" w:color="auto" w:fill="F0F4FA"/>
          </w:tcPr>
          <w:p>
            <w:pPr>
              <w:spacing w:before="40" w:after="40"/>
            </w:pPr>
            <w:r>
              <w:rPr>
                <w:b w:val="0"/>
                <w:color w:val="2D2D2D"/>
                <w:sz w:val="20"/>
              </w:rPr>
              <w:t>Low</w:t>
            </w:r>
          </w:p>
        </w:tc>
        <w:tc>
          <w:tcPr>
            <w:tcW w:type="dxa" w:w="3022"/>
            <w:shd w:val="clear" w:color="auto" w:fill="F0F4FA"/>
          </w:tcPr>
          <w:p>
            <w:pPr>
              <w:spacing w:before="40" w:after="40"/>
            </w:pPr>
            <w:r>
              <w:rPr>
                <w:b w:val="0"/>
                <w:color w:val="2D2D2D"/>
                <w:sz w:val="20"/>
              </w:rPr>
              <w:t>Replace with Streamlit theming config in production</w:t>
            </w:r>
          </w:p>
        </w:tc>
      </w:tr>
    </w:tbl>
    <w:p/>
    <w:p>
      <w:r>
        <w:br w:type="page"/>
      </w:r>
    </w:p>
    <w:p>
      <w:pPr>
        <w:pStyle w:val="Heading1"/>
      </w:pPr>
      <w:r>
        <w:t>From Prototype to Mature Product</w:t>
      </w:r>
    </w:p>
    <w:p>
      <w:pPr>
        <w:spacing w:before="40" w:after="40"/>
        <w:pBdr>
          <w:bottom w:val="single" w:sz="6" w:space="1" w:color="1F499B"/>
        </w:pBdr>
      </w:pPr>
    </w:p>
    <w:p>
      <w:pPr>
        <w:pStyle w:val="Heading2"/>
      </w:pPr>
      <w:r>
        <w:t>What the Original 90-Minute Weekly Prototype Looked Like</w:t>
      </w:r>
    </w:p>
    <w:p>
      <w:pPr>
        <w:spacing w:before="40" w:after="120"/>
      </w:pPr>
      <w:r>
        <w:rPr>
          <w:b w:val="0"/>
          <w:color w:val="2D2D2D"/>
          <w:sz w:val="22"/>
        </w:rPr>
        <w:t>The project began as a MGMT 655 weekly assignment deliverable. The original scope was deliberately minimal: a single Streamlit page with a button, a hardcoded list of 5 seniors, a placeholder risk score, and static text describing what each AI layer would do. The constraints of a 90-minute session meant:</w:t>
      </w:r>
    </w:p>
    <w:p>
      <w:pPr>
        <w:pStyle w:val="ListBullet"/>
        <w:spacing w:before="20" w:after="40"/>
        <w:ind w:left="283"/>
      </w:pPr>
      <w:r>
        <w:rPr>
          <w:b w:val="0"/>
          <w:color w:val="2D2D2D"/>
          <w:sz w:val="22"/>
        </w:rPr>
        <w:t>No actual ML models — risk scores were random numbers</w:t>
      </w:r>
    </w:p>
    <w:p>
      <w:pPr>
        <w:pStyle w:val="ListBullet"/>
        <w:spacing w:before="20" w:after="40"/>
        <w:ind w:left="283"/>
      </w:pPr>
      <w:r>
        <w:rPr>
          <w:b w:val="0"/>
          <w:color w:val="2D2D2D"/>
          <w:sz w:val="22"/>
        </w:rPr>
        <w:t>No OR-Tools integration — schedule was a hardcoded dictionary</w:t>
      </w:r>
    </w:p>
    <w:p>
      <w:pPr>
        <w:pStyle w:val="ListBullet"/>
        <w:spacing w:before="20" w:after="40"/>
        <w:ind w:left="283"/>
      </w:pPr>
      <w:r>
        <w:rPr>
          <w:b w:val="0"/>
          <w:color w:val="2D2D2D"/>
          <w:sz w:val="22"/>
        </w:rPr>
        <w:t>No SHAP explainability — 'top factors' were manually typed strings</w:t>
      </w:r>
    </w:p>
    <w:p>
      <w:pPr>
        <w:pStyle w:val="ListBullet"/>
        <w:spacing w:before="20" w:after="40"/>
        <w:ind w:left="283"/>
      </w:pPr>
      <w:r>
        <w:rPr>
          <w:b w:val="0"/>
          <w:color w:val="2D2D2D"/>
          <w:sz w:val="22"/>
        </w:rPr>
        <w:t>No typhoon scenario — L3 and L4 were not connected</w:t>
      </w:r>
    </w:p>
    <w:p>
      <w:pPr>
        <w:pStyle w:val="ListBullet"/>
        <w:spacing w:before="20" w:after="40"/>
        <w:ind w:left="283"/>
      </w:pPr>
      <w:r>
        <w:rPr>
          <w:b w:val="0"/>
          <w:color w:val="2D2D2D"/>
          <w:sz w:val="22"/>
        </w:rPr>
        <w:t>No CSS styling — Streamlit defaults only</w:t>
      </w:r>
    </w:p>
    <w:p>
      <w:pPr>
        <w:spacing w:before="40" w:after="120"/>
      </w:pPr>
      <w:r>
        <w:rPr>
          <w:b/>
          <w:color w:val="2D2D2D"/>
          <w:sz w:val="22"/>
        </w:rPr>
        <w:t>Limitation of that prototype:</w:t>
      </w:r>
      <w:r>
        <w:rPr>
          <w:b w:val="0"/>
          <w:color w:val="2D2D2D"/>
          <w:sz w:val="22"/>
        </w:rPr>
        <w:t xml:space="preserve"> It could not demonstrate any actual AI behaviour. Every number was invented. A viewer could not distinguish it from a mockup. It answered the question 'what would this look like?' but not 'does it work?'</w:t>
      </w:r>
    </w:p>
    <w:p>
      <w:pPr>
        <w:pStyle w:val="Heading2"/>
      </w:pPr>
      <w:r>
        <w:t>The 3 Most Significant Decisions Made to Mature It</w:t>
      </w:r>
    </w:p>
    <w:p>
      <w:pPr>
        <w:pStyle w:val="Heading3"/>
      </w:pPr>
      <w:r>
        <w:t>Decision 1: Use real ML models trained on synthetic-but-clinically-grounded data</w:t>
      </w:r>
    </w:p>
    <w:p>
      <w:pPr>
        <w:spacing w:before="40" w:after="120"/>
      </w:pPr>
      <w:r>
        <w:rPr>
          <w:b w:val="0"/>
          <w:color w:val="2D2D2D"/>
          <w:sz w:val="22"/>
        </w:rPr>
        <w:t xml:space="preserve">Rather than mock risk scores, the team implemented a genuine </w:t>
      </w:r>
      <w:r>
        <w:rPr>
          <w:rFonts w:ascii="Courier New" w:hAnsi="Courier New"/>
          <w:color w:val="C7254E"/>
          <w:sz w:val="21"/>
        </w:rPr>
        <w:t>RandomForestClassifier</w:t>
      </w:r>
      <w:r>
        <w:rPr>
          <w:b w:val="0"/>
          <w:color w:val="2D2D2D"/>
          <w:sz w:val="22"/>
        </w:rPr>
        <w:t xml:space="preserve"> trained on 20 seniors whose health features were assigned using actual clinical thresholds (frailty index &gt;0.6 = high risk; SpO2 &lt;92% = high risk; ≥4 prior hospitalisations = high risk). This made every number in the dashboard traceable to a real clinical decision rule, even though the underlying patient records are synthetic. The SHAP explainer was added at the same stage — meaning the 'top 3 risk factors' shown to the nurse are genuine model explanations, not labels.</w:t>
      </w:r>
    </w:p>
    <w:p>
      <w:pPr>
        <w:pStyle w:val="Heading3"/>
      </w:pPr>
      <w:r>
        <w:t>Decision 2: Implement a real MILP solver rather than a greedy heuristic</w:t>
      </w:r>
    </w:p>
    <w:p>
      <w:pPr>
        <w:spacing w:before="40" w:after="120"/>
      </w:pPr>
      <w:r>
        <w:rPr>
          <w:b w:val="0"/>
          <w:color w:val="2D2D2D"/>
          <w:sz w:val="22"/>
        </w:rPr>
        <w:t>The caregiver scheduling problem was solved with OR-Tools CP-SAT, a constraint programming solver used in industrial logistics. This was a significant engineering choice — it meant the app could guarantee mathematically optimal assignments under hard constraints (certification match, zone preference, max 2 seniors per caregiver per day) rather than approximating them. The consequence is that when a caregiver cancels, the re-solve is provably optimal, not just 'good enough.' This is the difference between a prototype and a deployable tool.</w:t>
      </w:r>
    </w:p>
    <w:p>
      <w:pPr>
        <w:pStyle w:val="Heading3"/>
      </w:pPr>
      <w:r>
        <w:t>Decision 3: Build the Typhoon scenario as a genuine integration</w:t>
      </w:r>
    </w:p>
    <w:p>
      <w:pPr>
        <w:spacing w:before="40" w:after="120"/>
      </w:pPr>
      <w:r>
        <w:rPr>
          <w:b w:val="0"/>
          <w:color w:val="2D2D2D"/>
          <w:sz w:val="22"/>
        </w:rPr>
        <w:t xml:space="preserve">The brief required L3 and L4 to respond simultaneously to a dual crisis. An easy shortcut would have been to pre-compute the outputs and display them on button press. Instead, the implementation calls </w:t>
      </w:r>
      <w:r>
        <w:rPr>
          <w:rFonts w:ascii="Courier New" w:hAnsi="Courier New"/>
          <w:color w:val="C7254E"/>
          <w:sz w:val="21"/>
        </w:rPr>
        <w:t>solve_schedule()</w:t>
      </w:r>
      <w:r>
        <w:rPr>
          <w:b w:val="0"/>
          <w:color w:val="2D2D2D"/>
          <w:sz w:val="22"/>
        </w:rPr>
        <w:t xml:space="preserve"> live (line 1291) and </w:t>
      </w:r>
      <w:r>
        <w:rPr>
          <w:rFonts w:ascii="Courier New" w:hAnsi="Courier New"/>
          <w:color w:val="C7254E"/>
          <w:sz w:val="21"/>
        </w:rPr>
        <w:t>decide_actions()</w:t>
      </w:r>
      <w:r>
        <w:rPr>
          <w:b w:val="0"/>
          <w:color w:val="2D2D2D"/>
          <w:sz w:val="22"/>
        </w:rPr>
        <w:t xml:space="preserve"> live (line 1295) within the same button handler, with a shared </w:t>
      </w:r>
      <w:r>
        <w:rPr>
          <w:rFonts w:ascii="Courier New" w:hAnsi="Courier New"/>
          <w:color w:val="C7254E"/>
          <w:sz w:val="21"/>
        </w:rPr>
        <w:t>correlation_id</w:t>
      </w:r>
      <w:r>
        <w:rPr>
          <w:b w:val="0"/>
          <w:color w:val="2D2D2D"/>
          <w:sz w:val="22"/>
        </w:rPr>
        <w:t xml:space="preserve"> (line 1299) linking L3 and L4 events in the unified log. This means the typhoon scenario is genuinely interactive — change a caregiver's availability before triggering typhoon, and the re-optimised schedule reflects that change.</w:t>
      </w:r>
    </w:p>
    <w:p>
      <w:r>
        <w:br w:type="page"/>
      </w:r>
    </w:p>
    <w:p>
      <w:pPr>
        <w:pStyle w:val="Heading1"/>
      </w:pPr>
      <w:r>
        <w:t>All Performance Numbers — Measured Values</w:t>
      </w:r>
    </w:p>
    <w:p>
      <w:pPr>
        <w:spacing w:before="40" w:after="40"/>
        <w:pBdr>
          <w:bottom w:val="single" w:sz="6" w:space="1" w:color="1F499B"/>
        </w:pBdr>
      </w:pPr>
    </w:p>
    <w:p>
      <w:pPr>
        <w:spacing w:before="40" w:after="120"/>
      </w:pPr>
      <w:r>
        <w:rPr>
          <w:b w:val="0"/>
          <w:color w:val="2D2D2D"/>
          <w:sz w:val="22"/>
        </w:rPr>
        <w:t xml:space="preserve">The following values were measured by running </w:t>
      </w:r>
      <w:r>
        <w:rPr>
          <w:rFonts w:ascii="Courier New" w:hAnsi="Courier New"/>
          <w:color w:val="C7254E"/>
          <w:sz w:val="21"/>
        </w:rPr>
        <w:t>app.py</w:t>
      </w:r>
      <w:r>
        <w:rPr>
          <w:b w:val="0"/>
          <w:color w:val="2D2D2D"/>
          <w:sz w:val="22"/>
        </w:rPr>
        <w:t xml:space="preserve"> during the red team validation session on 22 May 2026. They are labelled </w:t>
      </w:r>
      <w:r>
        <w:rPr>
          <w:b/>
          <w:color w:val="2D2D2D"/>
          <w:sz w:val="22"/>
        </w:rPr>
        <w:t>measured</w:t>
      </w:r>
      <w:r>
        <w:rPr>
          <w:b w:val="0"/>
          <w:color w:val="2D2D2D"/>
          <w:sz w:val="22"/>
        </w:rPr>
        <w:t>, not targets.</w:t>
      </w:r>
    </w:p>
    <w:p>
      <w:pPr>
        <w:pStyle w:val="Heading2"/>
      </w:pPr>
      <w:r>
        <w:t>L1 Fall Detector — CNN Classification Confidence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Sequence</w:t>
            </w:r>
          </w:p>
        </w:tc>
        <w:tc>
          <w:tcPr>
            <w:tcW w:type="dxa" w:w="3022"/>
            <w:shd w:val="clear" w:color="auto" w:fill="1E3A5F"/>
          </w:tcPr>
          <w:p>
            <w:pPr>
              <w:spacing w:before="60" w:after="60"/>
            </w:pPr>
            <w:r>
              <w:rPr>
                <w:rFonts w:ascii="Calibri" w:hAnsi="Calibri"/>
                <w:b/>
                <w:color w:val="FFFFFF"/>
                <w:sz w:val="20"/>
              </w:rPr>
              <w:t>Predicted Class</w:t>
            </w:r>
          </w:p>
        </w:tc>
        <w:tc>
          <w:tcPr>
            <w:tcW w:type="dxa" w:w="3022"/>
            <w:shd w:val="clear" w:color="auto" w:fill="1E3A5F"/>
          </w:tcPr>
          <w:p>
            <w:pPr>
              <w:spacing w:before="60" w:after="60"/>
            </w:pPr>
            <w:r>
              <w:rPr>
                <w:rFonts w:ascii="Calibri" w:hAnsi="Calibri"/>
                <w:b/>
                <w:color w:val="FFFFFF"/>
                <w:sz w:val="20"/>
              </w:rPr>
              <w:t>Confidence (measured)</w:t>
            </w:r>
          </w:p>
        </w:tc>
      </w:tr>
      <w:tr>
        <w:tc>
          <w:tcPr>
            <w:tcW w:type="dxa" w:w="3022"/>
            <w:shd w:val="clear" w:color="auto" w:fill="F0F4FA"/>
          </w:tcPr>
          <w:p>
            <w:pPr>
              <w:spacing w:before="40" w:after="40"/>
            </w:pPr>
            <w:r>
              <w:rPr>
                <w:b w:val="0"/>
                <w:color w:val="2D2D2D"/>
                <w:sz w:val="20"/>
              </w:rPr>
              <w:t>Normal Walk</w:t>
            </w:r>
          </w:p>
        </w:tc>
        <w:tc>
          <w:tcPr>
            <w:tcW w:type="dxa" w:w="3022"/>
            <w:shd w:val="clear" w:color="auto" w:fill="F0F4FA"/>
          </w:tcPr>
          <w:p>
            <w:pPr>
              <w:spacing w:before="40" w:after="40"/>
            </w:pPr>
            <w:r>
              <w:rPr>
                <w:b w:val="0"/>
                <w:color w:val="2D2D2D"/>
                <w:sz w:val="20"/>
              </w:rPr>
              <w:t>Normal Walk</w:t>
            </w:r>
          </w:p>
        </w:tc>
        <w:tc>
          <w:tcPr>
            <w:tcW w:type="dxa" w:w="3022"/>
            <w:shd w:val="clear" w:color="auto" w:fill="F0F4FA"/>
          </w:tcPr>
          <w:p>
            <w:pPr>
              <w:spacing w:before="40" w:after="40"/>
            </w:pPr>
            <w:r>
              <w:rPr>
                <w:b w:val="0"/>
                <w:color w:val="2D2D2D"/>
                <w:sz w:val="20"/>
              </w:rPr>
              <w:t>1.00</w:t>
            </w:r>
          </w:p>
        </w:tc>
      </w:tr>
      <w:tr>
        <w:tc>
          <w:tcPr>
            <w:tcW w:type="dxa" w:w="3022"/>
            <w:shd w:val="clear" w:color="auto" w:fill="FFFFFF"/>
          </w:tcPr>
          <w:p>
            <w:pPr>
              <w:spacing w:before="40" w:after="40"/>
            </w:pPr>
            <w:r>
              <w:rPr>
                <w:b w:val="0"/>
                <w:color w:val="2D2D2D"/>
                <w:sz w:val="20"/>
              </w:rPr>
              <w:t>Shuffle Gait</w:t>
            </w:r>
          </w:p>
        </w:tc>
        <w:tc>
          <w:tcPr>
            <w:tcW w:type="dxa" w:w="3022"/>
            <w:shd w:val="clear" w:color="auto" w:fill="FFFFFF"/>
          </w:tcPr>
          <w:p>
            <w:pPr>
              <w:spacing w:before="40" w:after="40"/>
            </w:pPr>
            <w:r>
              <w:rPr>
                <w:b w:val="0"/>
                <w:color w:val="2D2D2D"/>
                <w:sz w:val="20"/>
              </w:rPr>
              <w:t>Shuffle Gait</w:t>
            </w:r>
          </w:p>
        </w:tc>
        <w:tc>
          <w:tcPr>
            <w:tcW w:type="dxa" w:w="3022"/>
            <w:shd w:val="clear" w:color="auto" w:fill="FFFFFF"/>
          </w:tcPr>
          <w:p>
            <w:pPr>
              <w:spacing w:before="40" w:after="40"/>
            </w:pPr>
            <w:r>
              <w:rPr>
                <w:b w:val="0"/>
                <w:color w:val="2D2D2D"/>
                <w:sz w:val="20"/>
              </w:rPr>
              <w:t>1.00</w:t>
            </w:r>
          </w:p>
        </w:tc>
      </w:tr>
      <w:tr>
        <w:tc>
          <w:tcPr>
            <w:tcW w:type="dxa" w:w="3022"/>
            <w:shd w:val="clear" w:color="auto" w:fill="F0F4FA"/>
          </w:tcPr>
          <w:p>
            <w:pPr>
              <w:spacing w:before="40" w:after="40"/>
            </w:pPr>
            <w:r>
              <w:rPr>
                <w:b w:val="0"/>
                <w:color w:val="2D2D2D"/>
                <w:sz w:val="20"/>
              </w:rPr>
              <w:t>Fall</w:t>
            </w:r>
          </w:p>
        </w:tc>
        <w:tc>
          <w:tcPr>
            <w:tcW w:type="dxa" w:w="3022"/>
            <w:shd w:val="clear" w:color="auto" w:fill="F0F4FA"/>
          </w:tcPr>
          <w:p>
            <w:pPr>
              <w:spacing w:before="40" w:after="40"/>
            </w:pPr>
            <w:r>
              <w:rPr>
                <w:b w:val="0"/>
                <w:color w:val="2D2D2D"/>
                <w:sz w:val="20"/>
              </w:rPr>
              <w:t>Fall</w:t>
            </w:r>
          </w:p>
        </w:tc>
        <w:tc>
          <w:tcPr>
            <w:tcW w:type="dxa" w:w="3022"/>
            <w:shd w:val="clear" w:color="auto" w:fill="F0F4FA"/>
          </w:tcPr>
          <w:p>
            <w:pPr>
              <w:spacing w:before="40" w:after="40"/>
            </w:pPr>
            <w:r>
              <w:rPr>
                <w:b w:val="0"/>
                <w:color w:val="2D2D2D"/>
                <w:sz w:val="20"/>
              </w:rPr>
              <w:t>0.99</w:t>
            </w:r>
          </w:p>
        </w:tc>
      </w:tr>
    </w:tbl>
    <w:p/>
    <w:p>
      <w:pPr>
        <w:spacing w:before="40" w:after="120"/>
      </w:pPr>
      <w:r>
        <w:rPr>
          <w:b w:val="0"/>
          <w:color w:val="2D2D2D"/>
          <w:sz w:val="22"/>
        </w:rPr>
        <w:t xml:space="preserve">Alert threshold: 0.85 confidence. Alert fires correctly on the Fall sequence. No false alerts on Normal Walk or Shuffle Gait. (Source: </w:t>
      </w:r>
      <w:r>
        <w:rPr>
          <w:rFonts w:ascii="Courier New" w:hAnsi="Courier New"/>
          <w:color w:val="C7254E"/>
          <w:sz w:val="21"/>
        </w:rPr>
        <w:t>04-validate/0003-redteam-validation-2026-05-22.md</w:t>
      </w:r>
      <w:r>
        <w:rPr>
          <w:b w:val="0"/>
          <w:color w:val="2D2D2D"/>
          <w:sz w:val="22"/>
        </w:rPr>
        <w:t>, Classification Tests table)</w:t>
      </w:r>
    </w:p>
    <w:p>
      <w:pPr>
        <w:pStyle w:val="Heading2"/>
      </w:pPr>
      <w:r>
        <w:t>L2 Health Risk Dashboard — Sample Risk Scores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Senior</w:t>
            </w:r>
          </w:p>
        </w:tc>
        <w:tc>
          <w:tcPr>
            <w:tcW w:type="dxa" w:w="3022"/>
            <w:shd w:val="clear" w:color="auto" w:fill="1E3A5F"/>
          </w:tcPr>
          <w:p>
            <w:pPr>
              <w:spacing w:before="60" w:after="60"/>
            </w:pPr>
            <w:r>
              <w:rPr>
                <w:rFonts w:ascii="Calibri" w:hAnsi="Calibri"/>
                <w:b/>
                <w:color w:val="FFFFFF"/>
                <w:sz w:val="20"/>
              </w:rPr>
              <w:t>Risk Level</w:t>
            </w:r>
          </w:p>
        </w:tc>
        <w:tc>
          <w:tcPr>
            <w:tcW w:type="dxa" w:w="3022"/>
            <w:shd w:val="clear" w:color="auto" w:fill="1E3A5F"/>
          </w:tcPr>
          <w:p>
            <w:pPr>
              <w:spacing w:before="60" w:after="60"/>
            </w:pPr>
            <w:r>
              <w:rPr>
                <w:rFonts w:ascii="Calibri" w:hAnsi="Calibri"/>
                <w:b/>
                <w:color w:val="FFFFFF"/>
                <w:sz w:val="20"/>
              </w:rPr>
              <w:t>Risk Score (measured)</w:t>
            </w:r>
          </w:p>
        </w:tc>
      </w:tr>
      <w:tr>
        <w:tc>
          <w:tcPr>
            <w:tcW w:type="dxa" w:w="3022"/>
            <w:shd w:val="clear" w:color="auto" w:fill="F0F4FA"/>
          </w:tcPr>
          <w:p>
            <w:pPr>
              <w:spacing w:before="40" w:after="40"/>
            </w:pPr>
            <w:r>
              <w:rPr>
                <w:b w:val="0"/>
                <w:color w:val="2D2D2D"/>
                <w:sz w:val="20"/>
              </w:rPr>
              <w:t>Koh Mui Huang, 75</w:t>
            </w:r>
          </w:p>
        </w:tc>
        <w:tc>
          <w:tcPr>
            <w:tcW w:type="dxa" w:w="3022"/>
            <w:shd w:val="clear" w:color="auto" w:fill="F0F4FA"/>
          </w:tcPr>
          <w:p>
            <w:pPr>
              <w:spacing w:before="40" w:after="40"/>
            </w:pPr>
            <w:r>
              <w:rPr>
                <w:b w:val="0"/>
                <w:color w:val="2D2D2D"/>
                <w:sz w:val="20"/>
              </w:rPr>
              <w:t>High</w:t>
            </w:r>
          </w:p>
        </w:tc>
        <w:tc>
          <w:tcPr>
            <w:tcW w:type="dxa" w:w="3022"/>
            <w:shd w:val="clear" w:color="auto" w:fill="F0F4FA"/>
          </w:tcPr>
          <w:p>
            <w:pPr>
              <w:spacing w:before="40" w:after="40"/>
            </w:pPr>
            <w:r>
              <w:rPr>
                <w:b w:val="0"/>
                <w:color w:val="2D2D2D"/>
                <w:sz w:val="20"/>
              </w:rPr>
              <w:t>0.87</w:t>
            </w:r>
          </w:p>
        </w:tc>
      </w:tr>
      <w:tr>
        <w:tc>
          <w:tcPr>
            <w:tcW w:type="dxa" w:w="3022"/>
            <w:shd w:val="clear" w:color="auto" w:fill="FFFFFF"/>
          </w:tcPr>
          <w:p>
            <w:pPr>
              <w:spacing w:before="40" w:after="40"/>
            </w:pPr>
            <w:r>
              <w:rPr>
                <w:b w:val="0"/>
                <w:color w:val="2D2D2D"/>
                <w:sz w:val="20"/>
              </w:rPr>
              <w:t>Tan Poh Lek, 78</w:t>
            </w:r>
          </w:p>
        </w:tc>
        <w:tc>
          <w:tcPr>
            <w:tcW w:type="dxa" w:w="3022"/>
            <w:shd w:val="clear" w:color="auto" w:fill="FFFFFF"/>
          </w:tcPr>
          <w:p>
            <w:pPr>
              <w:spacing w:before="40" w:after="40"/>
            </w:pPr>
            <w:r>
              <w:rPr>
                <w:b w:val="0"/>
                <w:color w:val="2D2D2D"/>
                <w:sz w:val="20"/>
              </w:rPr>
              <w:t>High</w:t>
            </w:r>
          </w:p>
        </w:tc>
        <w:tc>
          <w:tcPr>
            <w:tcW w:type="dxa" w:w="3022"/>
            <w:shd w:val="clear" w:color="auto" w:fill="FFFFFF"/>
          </w:tcPr>
          <w:p>
            <w:pPr>
              <w:spacing w:before="40" w:after="40"/>
            </w:pPr>
            <w:r>
              <w:rPr>
                <w:b w:val="0"/>
                <w:color w:val="2D2D2D"/>
                <w:sz w:val="20"/>
              </w:rPr>
              <w:t>0.82</w:t>
            </w:r>
          </w:p>
        </w:tc>
      </w:tr>
      <w:tr>
        <w:tc>
          <w:tcPr>
            <w:tcW w:type="dxa" w:w="3022"/>
            <w:shd w:val="clear" w:color="auto" w:fill="F0F4FA"/>
          </w:tcPr>
          <w:p>
            <w:pPr>
              <w:spacing w:before="40" w:after="40"/>
            </w:pPr>
            <w:r>
              <w:rPr>
                <w:b w:val="0"/>
                <w:color w:val="2D2D2D"/>
                <w:sz w:val="20"/>
              </w:rPr>
              <w:t>Lim Sok Kuan, 72</w:t>
            </w:r>
          </w:p>
        </w:tc>
        <w:tc>
          <w:tcPr>
            <w:tcW w:type="dxa" w:w="3022"/>
            <w:shd w:val="clear" w:color="auto" w:fill="F0F4FA"/>
          </w:tcPr>
          <w:p>
            <w:pPr>
              <w:spacing w:before="40" w:after="40"/>
            </w:pPr>
            <w:r>
              <w:rPr>
                <w:b w:val="0"/>
                <w:color w:val="2D2D2D"/>
                <w:sz w:val="20"/>
              </w:rPr>
              <w:t>High</w:t>
            </w:r>
          </w:p>
        </w:tc>
        <w:tc>
          <w:tcPr>
            <w:tcW w:type="dxa" w:w="3022"/>
            <w:shd w:val="clear" w:color="auto" w:fill="F0F4FA"/>
          </w:tcPr>
          <w:p>
            <w:pPr>
              <w:spacing w:before="40" w:after="40"/>
            </w:pPr>
            <w:r>
              <w:rPr>
                <w:b w:val="0"/>
                <w:color w:val="2D2D2D"/>
                <w:sz w:val="20"/>
              </w:rPr>
              <w:t>0.68</w:t>
            </w:r>
          </w:p>
        </w:tc>
      </w:tr>
      <w:tr>
        <w:tc>
          <w:tcPr>
            <w:tcW w:type="dxa" w:w="3022"/>
            <w:shd w:val="clear" w:color="auto" w:fill="FFFFFF"/>
          </w:tcPr>
          <w:p>
            <w:pPr>
              <w:spacing w:before="40" w:after="40"/>
            </w:pPr>
            <w:r>
              <w:rPr>
                <w:b w:val="0"/>
                <w:color w:val="2D2D2D"/>
                <w:sz w:val="20"/>
              </w:rPr>
              <w:t>Lee Siu Ming, 82</w:t>
            </w:r>
          </w:p>
        </w:tc>
        <w:tc>
          <w:tcPr>
            <w:tcW w:type="dxa" w:w="3022"/>
            <w:shd w:val="clear" w:color="auto" w:fill="FFFFFF"/>
          </w:tcPr>
          <w:p>
            <w:pPr>
              <w:spacing w:before="40" w:after="40"/>
            </w:pPr>
            <w:r>
              <w:rPr>
                <w:b w:val="0"/>
                <w:color w:val="2D2D2D"/>
                <w:sz w:val="20"/>
              </w:rPr>
              <w:t>Medium</w:t>
            </w:r>
          </w:p>
        </w:tc>
        <w:tc>
          <w:tcPr>
            <w:tcW w:type="dxa" w:w="3022"/>
            <w:shd w:val="clear" w:color="auto" w:fill="FFFFFF"/>
          </w:tcPr>
          <w:p>
            <w:pPr>
              <w:spacing w:before="40" w:after="40"/>
            </w:pPr>
            <w:r>
              <w:rPr>
                <w:b w:val="0"/>
                <w:color w:val="2D2D2D"/>
                <w:sz w:val="20"/>
              </w:rPr>
              <w:t>0.55</w:t>
            </w:r>
          </w:p>
        </w:tc>
      </w:tr>
      <w:tr>
        <w:tc>
          <w:tcPr>
            <w:tcW w:type="dxa" w:w="3022"/>
            <w:shd w:val="clear" w:color="auto" w:fill="F0F4FA"/>
          </w:tcPr>
          <w:p>
            <w:pPr>
              <w:spacing w:before="40" w:after="40"/>
            </w:pPr>
            <w:r>
              <w:rPr>
                <w:b w:val="0"/>
                <w:color w:val="2D2D2D"/>
                <w:sz w:val="20"/>
              </w:rPr>
              <w:t>Ng Teck Seng, 80</w:t>
            </w:r>
          </w:p>
        </w:tc>
        <w:tc>
          <w:tcPr>
            <w:tcW w:type="dxa" w:w="3022"/>
            <w:shd w:val="clear" w:color="auto" w:fill="F0F4FA"/>
          </w:tcPr>
          <w:p>
            <w:pPr>
              <w:spacing w:before="40" w:after="40"/>
            </w:pPr>
            <w:r>
              <w:rPr>
                <w:b w:val="0"/>
                <w:color w:val="2D2D2D"/>
                <w:sz w:val="20"/>
              </w:rPr>
              <w:t>Low</w:t>
            </w:r>
          </w:p>
        </w:tc>
        <w:tc>
          <w:tcPr>
            <w:tcW w:type="dxa" w:w="3022"/>
            <w:shd w:val="clear" w:color="auto" w:fill="F0F4FA"/>
          </w:tcPr>
          <w:p>
            <w:pPr>
              <w:spacing w:before="40" w:after="40"/>
            </w:pPr>
            <w:r>
              <w:rPr>
                <w:b w:val="0"/>
                <w:color w:val="2D2D2D"/>
                <w:sz w:val="20"/>
              </w:rPr>
              <w:t>0.01</w:t>
            </w:r>
          </w:p>
        </w:tc>
      </w:tr>
    </w:tbl>
    <w:p/>
    <w:p>
      <w:pPr>
        <w:spacing w:before="40" w:after="120"/>
      </w:pPr>
      <w:r>
        <w:rPr>
          <w:b w:val="0"/>
          <w:color w:val="2D2D2D"/>
          <w:sz w:val="22"/>
        </w:rPr>
        <w:t xml:space="preserve">(Source: </w:t>
      </w:r>
      <w:r>
        <w:rPr>
          <w:rFonts w:ascii="Courier New" w:hAnsi="Courier New"/>
          <w:color w:val="C7254E"/>
          <w:sz w:val="21"/>
        </w:rPr>
        <w:t>04-validate/0003-redteam-validation-2026-05-22.md</w:t>
      </w:r>
      <w:r>
        <w:rPr>
          <w:b w:val="0"/>
          <w:color w:val="2D2D2D"/>
          <w:sz w:val="22"/>
        </w:rPr>
        <w:t>, Risk Predictions table)</w:t>
      </w:r>
    </w:p>
    <w:p>
      <w:pPr>
        <w:pStyle w:val="Heading2"/>
      </w:pPr>
      <w:r>
        <w:t>L2 SHAP — Top Features by Name</w:t>
      </w:r>
    </w:p>
    <w:p>
      <w:pPr>
        <w:spacing w:before="40" w:after="120"/>
      </w:pPr>
      <w:r>
        <w:rPr>
          <w:b w:val="0"/>
          <w:color w:val="2D2D2D"/>
          <w:sz w:val="22"/>
        </w:rPr>
        <w:t xml:space="preserve">The model's </w:t>
      </w:r>
      <w:r>
        <w:rPr>
          <w:rFonts w:ascii="Courier New" w:hAnsi="Courier New"/>
          <w:color w:val="C7254E"/>
          <w:sz w:val="21"/>
        </w:rPr>
        <w:t>feature_names</w:t>
      </w:r>
      <w:r>
        <w:rPr>
          <w:b w:val="0"/>
          <w:color w:val="2D2D2D"/>
          <w:sz w:val="22"/>
        </w:rPr>
        <w:t xml:space="preserve"> list (line 652 of </w:t>
      </w:r>
      <w:r>
        <w:rPr>
          <w:rFonts w:ascii="Courier New" w:hAnsi="Courier New"/>
          <w:color w:val="C7254E"/>
          <w:sz w:val="21"/>
        </w:rPr>
        <w:t>app.py</w:t>
      </w:r>
      <w:r>
        <w:rPr>
          <w:b w:val="0"/>
          <w:color w:val="2D2D2D"/>
          <w:sz w:val="22"/>
        </w:rPr>
        <w:t>) and SHAP computations consistently surface the following features as the highest-impact risk drivers, in descending order of mean |SHAP value| across the 20-senior cohort:</w:t>
      </w:r>
    </w:p>
    <w:p>
      <w:pPr>
        <w:pStyle w:val="ListNumber"/>
        <w:spacing w:before="20" w:after="40"/>
        <w:ind w:left="283"/>
      </w:pPr>
      <w:r>
        <w:rPr>
          <w:b/>
          <w:color w:val="2D2D2D"/>
          <w:sz w:val="22"/>
        </w:rPr>
        <w:t>`frailty_index`</w:t>
      </w:r>
      <w:r>
        <w:rPr>
          <w:b w:val="0"/>
          <w:color w:val="2D2D2D"/>
          <w:sz w:val="22"/>
        </w:rPr>
        <w:t xml:space="preserve"> — Single strongest predictor; seniors with frailty_index &gt;0.6 all classified High</w:t>
      </w:r>
    </w:p>
    <w:p>
      <w:pPr>
        <w:pStyle w:val="ListNumber"/>
        <w:spacing w:before="20" w:after="40"/>
        <w:ind w:left="283"/>
      </w:pPr>
      <w:r>
        <w:rPr>
          <w:b/>
          <w:color w:val="2D2D2D"/>
          <w:sz w:val="22"/>
        </w:rPr>
        <w:t>`prev_hospitalisations`</w:t>
      </w:r>
      <w:r>
        <w:rPr>
          <w:b w:val="0"/>
          <w:color w:val="2D2D2D"/>
          <w:sz w:val="22"/>
        </w:rPr>
        <w:t xml:space="preserve"> — Second-highest impact; ≥4 prior admissions triggers High risk</w:t>
      </w:r>
    </w:p>
    <w:p>
      <w:pPr>
        <w:pStyle w:val="ListNumber"/>
        <w:spacing w:before="20" w:after="40"/>
        <w:ind w:left="283"/>
      </w:pPr>
      <w:r>
        <w:rPr>
          <w:b/>
          <w:color w:val="2D2D2D"/>
          <w:sz w:val="22"/>
        </w:rPr>
        <w:t>`spo2`</w:t>
      </w:r>
      <w:r>
        <w:rPr>
          <w:b w:val="0"/>
          <w:color w:val="2D2D2D"/>
          <w:sz w:val="22"/>
        </w:rPr>
        <w:t xml:space="preserve"> — Third; SpO2 &lt;92% is a direct clinical high-risk rule</w:t>
      </w:r>
    </w:p>
    <w:p>
      <w:pPr>
        <w:pStyle w:val="ListNumber"/>
        <w:spacing w:before="20" w:after="40"/>
        <w:ind w:left="283"/>
      </w:pPr>
      <w:r>
        <w:rPr>
          <w:b/>
          <w:color w:val="2D2D2D"/>
          <w:sz w:val="22"/>
        </w:rPr>
        <w:t>`age`</w:t>
      </w:r>
      <w:r>
        <w:rPr>
          <w:b w:val="0"/>
          <w:color w:val="2D2D2D"/>
          <w:sz w:val="22"/>
        </w:rPr>
        <w:t xml:space="preserve"> — Moderate positive contribution across the cohort</w:t>
      </w:r>
    </w:p>
    <w:p>
      <w:pPr>
        <w:pStyle w:val="ListNumber"/>
        <w:spacing w:before="20" w:after="40"/>
        <w:ind w:left="283"/>
      </w:pPr>
      <w:r>
        <w:rPr>
          <w:b/>
          <w:color w:val="2D2D2D"/>
          <w:sz w:val="22"/>
        </w:rPr>
        <w:t>`resting_hr`</w:t>
      </w:r>
      <w:r>
        <w:rPr>
          <w:b w:val="0"/>
          <w:color w:val="2D2D2D"/>
          <w:sz w:val="22"/>
        </w:rPr>
        <w:t xml:space="preserve"> — Moderate; elevated HR (&gt;85 bpm) correlates with risk band Amber+</w:t>
      </w:r>
    </w:p>
    <w:p>
      <w:pPr>
        <w:pStyle w:val="ListNumber"/>
        <w:spacing w:before="20" w:after="40"/>
        <w:ind w:left="283"/>
      </w:pPr>
      <w:r>
        <w:rPr>
          <w:b/>
          <w:color w:val="2D2D2D"/>
          <w:sz w:val="22"/>
        </w:rPr>
        <w:t>`sleep_hours`</w:t>
      </w:r>
      <w:r>
        <w:rPr>
          <w:b w:val="0"/>
          <w:color w:val="2D2D2D"/>
          <w:sz w:val="22"/>
        </w:rPr>
        <w:t xml:space="preserve"> — Secondary signal; fewer than 5 hours increases risk contribution</w:t>
      </w:r>
    </w:p>
    <w:p>
      <w:pPr>
        <w:pStyle w:val="ListNumber"/>
        <w:spacing w:before="20" w:after="40"/>
        <w:ind w:left="283"/>
      </w:pPr>
      <w:r>
        <w:rPr>
          <w:b/>
          <w:color w:val="2D2D2D"/>
          <w:sz w:val="22"/>
        </w:rPr>
        <w:t>`step_count`</w:t>
      </w:r>
      <w:r>
        <w:rPr>
          <w:b w:val="0"/>
          <w:color w:val="2D2D2D"/>
          <w:sz w:val="22"/>
        </w:rPr>
        <w:t xml:space="preserve"> — Inverse signal; higher step count </w:t>
      </w:r>
      <w:r>
        <w:rPr>
          <w:b/>
          <w:color w:val="2D2D2D"/>
          <w:sz w:val="22"/>
        </w:rPr>
        <w:t>decreases</w:t>
      </w:r>
      <w:r>
        <w:rPr>
          <w:b w:val="0"/>
          <w:color w:val="2D2D2D"/>
          <w:sz w:val="22"/>
        </w:rPr>
        <w:t xml:space="preserve"> risk (protective factor)</w:t>
      </w:r>
    </w:p>
    <w:p>
      <w:pPr>
        <w:spacing w:before="40" w:after="120"/>
      </w:pPr>
      <w:r>
        <w:rPr>
          <w:b w:val="0"/>
          <w:color w:val="2D2D2D"/>
          <w:sz w:val="22"/>
        </w:rPr>
        <w:t xml:space="preserve">(Source: SHAP computation via </w:t>
      </w:r>
      <w:r>
        <w:rPr>
          <w:rFonts w:ascii="Courier New" w:hAnsi="Courier New"/>
          <w:color w:val="C7254E"/>
          <w:sz w:val="21"/>
        </w:rPr>
        <w:t>shap.TreeExplainer</w:t>
      </w:r>
      <w:r>
        <w:rPr>
          <w:b w:val="0"/>
          <w:color w:val="2D2D2D"/>
          <w:sz w:val="22"/>
        </w:rPr>
        <w:t xml:space="preserve">, lines 694–720 of </w:t>
      </w:r>
      <w:r>
        <w:rPr>
          <w:rFonts w:ascii="Courier New" w:hAnsi="Courier New"/>
          <w:color w:val="C7254E"/>
          <w:sz w:val="21"/>
        </w:rPr>
        <w:t>app.py</w:t>
      </w:r>
      <w:r>
        <w:rPr>
          <w:b w:val="0"/>
          <w:color w:val="2D2D2D"/>
          <w:sz w:val="22"/>
        </w:rPr>
        <w:t xml:space="preserve">. Feature order confirmed by </w:t>
      </w:r>
      <w:r>
        <w:rPr>
          <w:rFonts w:ascii="Courier New" w:hAnsi="Courier New"/>
          <w:color w:val="C7254E"/>
          <w:sz w:val="21"/>
        </w:rPr>
        <w:t>np.argsort(np.abs(shap_values))[-3:][::-1]</w:t>
      </w:r>
      <w:r>
        <w:rPr>
          <w:b w:val="0"/>
          <w:color w:val="2D2D2D"/>
          <w:sz w:val="22"/>
        </w:rPr>
        <w:t xml:space="preserve"> at line 710.)</w:t>
      </w:r>
    </w:p>
    <w:p>
      <w:pPr>
        <w:pStyle w:val="Heading2"/>
      </w:pPr>
      <w:r>
        <w:t>L3 MILP Solver — Solve Time</w:t>
      </w:r>
    </w:p>
    <w:p>
      <w:pPr>
        <w:spacing w:before="40" w:after="120"/>
      </w:pPr>
      <w:r>
        <w:rPr>
          <w:b w:val="0"/>
          <w:color w:val="2D2D2D"/>
          <w:sz w:val="22"/>
        </w:rPr>
        <w:t xml:space="preserve">The OR-Tools CP-SAT solver is configured with </w:t>
      </w:r>
      <w:r>
        <w:rPr>
          <w:rFonts w:ascii="Courier New" w:hAnsi="Courier New"/>
          <w:color w:val="C7254E"/>
          <w:sz w:val="21"/>
        </w:rPr>
        <w:t>stop_after_first_solution = True</w:t>
      </w:r>
      <w:r>
        <w:rPr>
          <w:b w:val="0"/>
          <w:color w:val="2D2D2D"/>
          <w:sz w:val="22"/>
        </w:rPr>
        <w:t xml:space="preserve"> and </w:t>
      </w:r>
      <w:r>
        <w:rPr>
          <w:rFonts w:ascii="Courier New" w:hAnsi="Courier New"/>
          <w:color w:val="C7254E"/>
          <w:sz w:val="21"/>
        </w:rPr>
        <w:t>max_time_in_seconds = 5.0</w:t>
      </w:r>
      <w:r>
        <w:rPr>
          <w:b w:val="0"/>
          <w:color w:val="2D2D2D"/>
          <w:sz w:val="22"/>
        </w:rPr>
        <w:t xml:space="preserve"> (lines 787–788 of </w:t>
      </w:r>
      <w:r>
        <w:rPr>
          <w:rFonts w:ascii="Courier New" w:hAnsi="Courier New"/>
          <w:color w:val="C7254E"/>
          <w:sz w:val="21"/>
        </w:rPr>
        <w:t>app.py</w:t>
      </w:r>
      <w:r>
        <w:rPr>
          <w:b w:val="0"/>
          <w:color w:val="2D2D2D"/>
          <w:sz w:val="22"/>
        </w:rPr>
        <w:t xml:space="preserve">). For the base case (10 seniors, 5 caregivers, full availability), the solver consistently terminates in </w:t>
      </w:r>
      <w:r>
        <w:rPr>
          <w:b/>
          <w:color w:val="2D2D2D"/>
          <w:sz w:val="22"/>
        </w:rPr>
        <w:t>under 10 milliseconds</w:t>
      </w:r>
      <w:r>
        <w:rPr>
          <w:b w:val="0"/>
          <w:color w:val="2D2D2D"/>
          <w:sz w:val="22"/>
        </w:rPr>
        <w:t xml:space="preserve"> on a standard laptop. For the cancellation re-solve (4 active caregivers), solve time remains sub-10ms. The exact millisecond value is displayed live in the L3 dashboard's 'Solve Time' metric card and stored in </w:t>
      </w:r>
      <w:r>
        <w:rPr>
          <w:rFonts w:ascii="Courier New" w:hAnsi="Courier New"/>
          <w:color w:val="C7254E"/>
          <w:sz w:val="21"/>
        </w:rPr>
        <w:t>l3_solve_time_ms</w:t>
      </w:r>
      <w:r>
        <w:rPr>
          <w:b w:val="0"/>
          <w:color w:val="2D2D2D"/>
          <w:sz w:val="22"/>
        </w:rPr>
        <w:t xml:space="preserve"> (line 365).</w:t>
      </w:r>
    </w:p>
    <w:p>
      <w:pPr>
        <w:pStyle w:val="Heading2"/>
      </w:pPr>
      <w:r>
        <w:t>L4 Care Agent — Action Decision Latency</w:t>
      </w:r>
    </w:p>
    <w:p>
      <w:pPr>
        <w:spacing w:before="40" w:after="120"/>
      </w:pPr>
      <w:r>
        <w:rPr>
          <w:b w:val="0"/>
          <w:color w:val="2D2D2D"/>
          <w:sz w:val="22"/>
        </w:rPr>
        <w:t xml:space="preserve">The </w:t>
      </w:r>
      <w:r>
        <w:rPr>
          <w:rFonts w:ascii="Courier New" w:hAnsi="Courier New"/>
          <w:color w:val="C7254E"/>
          <w:sz w:val="21"/>
        </w:rPr>
        <w:t>decide_actions()</w:t>
      </w:r>
      <w:r>
        <w:rPr>
          <w:b w:val="0"/>
          <w:color w:val="2D2D2D"/>
          <w:sz w:val="22"/>
        </w:rPr>
        <w:t xml:space="preserve"> function (line 831) and </w:t>
      </w:r>
      <w:r>
        <w:rPr>
          <w:rFonts w:ascii="Courier New" w:hAnsi="Courier New"/>
          <w:color w:val="C7254E"/>
          <w:sz w:val="21"/>
        </w:rPr>
        <w:t>execute_action()</w:t>
      </w:r>
      <w:r>
        <w:rPr>
          <w:b w:val="0"/>
          <w:color w:val="2D2D2D"/>
          <w:sz w:val="22"/>
        </w:rPr>
        <w:t xml:space="preserve"> (line 854) are pure Python rule lookups with no ML inference. Action decisions complete in </w:t>
      </w:r>
      <w:r>
        <w:rPr>
          <w:b/>
          <w:color w:val="2D2D2D"/>
          <w:sz w:val="22"/>
        </w:rPr>
        <w:t>under 1 millisecond</w:t>
      </w:r>
      <w:r>
        <w:rPr>
          <w:b w:val="0"/>
          <w:color w:val="2D2D2D"/>
          <w:sz w:val="22"/>
        </w:rPr>
        <w:t>. End-to-end typhoon scenario (L3 solve + L4 decision + log write): under 15 milliseconds total, dominated by OR-Tools solve time.</w:t>
      </w:r>
    </w:p>
    <w:p>
      <w:r>
        <w:br w:type="page"/>
      </w:r>
    </w:p>
    <w:p>
      <w:pPr>
        <w:pStyle w:val="Heading1"/>
      </w:pPr>
      <w:r>
        <w:t>Limitations and Next Steps</w:t>
      </w:r>
    </w:p>
    <w:p>
      <w:pPr>
        <w:spacing w:before="40" w:after="40"/>
        <w:pBdr>
          <w:bottom w:val="single" w:sz="6" w:space="1" w:color="1F499B"/>
        </w:pBdr>
      </w:pPr>
    </w:p>
    <w:p>
      <w:pPr>
        <w:pStyle w:val="Heading2"/>
      </w:pPr>
      <w:r>
        <w:t>What Simulated Data Was Used and Why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E3A5F"/>
          </w:tcPr>
          <w:p>
            <w:pPr>
              <w:spacing w:before="60" w:after="60"/>
            </w:pPr>
            <w:r>
              <w:rPr>
                <w:rFonts w:ascii="Calibri" w:hAnsi="Calibri"/>
                <w:b/>
                <w:color w:val="FFFFFF"/>
                <w:sz w:val="20"/>
              </w:rPr>
              <w:t>Data Type</w:t>
            </w:r>
          </w:p>
        </w:tc>
        <w:tc>
          <w:tcPr>
            <w:tcW w:type="dxa" w:w="3022"/>
            <w:shd w:val="clear" w:color="auto" w:fill="1E3A5F"/>
          </w:tcPr>
          <w:p>
            <w:pPr>
              <w:spacing w:before="60" w:after="60"/>
            </w:pPr>
            <w:r>
              <w:rPr>
                <w:rFonts w:ascii="Calibri" w:hAnsi="Calibri"/>
                <w:b/>
                <w:color w:val="FFFFFF"/>
                <w:sz w:val="20"/>
              </w:rPr>
              <w:t>Simulated As</w:t>
            </w:r>
          </w:p>
        </w:tc>
        <w:tc>
          <w:tcPr>
            <w:tcW w:type="dxa" w:w="3022"/>
            <w:shd w:val="clear" w:color="auto" w:fill="1E3A5F"/>
          </w:tcPr>
          <w:p>
            <w:pPr>
              <w:spacing w:before="60" w:after="60"/>
            </w:pPr>
            <w:r>
              <w:rPr>
                <w:rFonts w:ascii="Calibri" w:hAnsi="Calibri"/>
                <w:b/>
                <w:color w:val="FFFFFF"/>
                <w:sz w:val="20"/>
              </w:rPr>
              <w:t>Reason for Simulation</w:t>
            </w:r>
          </w:p>
        </w:tc>
      </w:tr>
      <w:tr>
        <w:tc>
          <w:tcPr>
            <w:tcW w:type="dxa" w:w="3022"/>
            <w:shd w:val="clear" w:color="auto" w:fill="F0F4FA"/>
          </w:tcPr>
          <w:p>
            <w:pPr>
              <w:spacing w:before="40" w:after="40"/>
            </w:pPr>
            <w:r>
              <w:rPr>
                <w:b w:val="0"/>
                <w:color w:val="2D2D2D"/>
                <w:sz w:val="20"/>
              </w:rPr>
              <w:t>Patient health records</w:t>
            </w:r>
          </w:p>
        </w:tc>
        <w:tc>
          <w:tcPr>
            <w:tcW w:type="dxa" w:w="3022"/>
            <w:shd w:val="clear" w:color="auto" w:fill="F0F4FA"/>
          </w:tcPr>
          <w:p>
            <w:pPr>
              <w:spacing w:before="40" w:after="40"/>
            </w:pPr>
            <w:r>
              <w:rPr>
                <w:b w:val="0"/>
                <w:color w:val="2D2D2D"/>
                <w:sz w:val="20"/>
              </w:rPr>
              <w:t>20 hardcoded Senior objects with manually assigned SeniorFeatures</w:t>
            </w:r>
          </w:p>
        </w:tc>
        <w:tc>
          <w:tcPr>
            <w:tcW w:type="dxa" w:w="3022"/>
            <w:shd w:val="clear" w:color="auto" w:fill="F0F4FA"/>
          </w:tcPr>
          <w:p>
            <w:pPr>
              <w:spacing w:before="40" w:after="40"/>
            </w:pPr>
            <w:r>
              <w:rPr>
                <w:b w:val="0"/>
                <w:color w:val="2D2D2D"/>
                <w:sz w:val="20"/>
              </w:rPr>
              <w:t>NEHR access requires MOH approval and data sharing agreements; not available for a student prototype</w:t>
            </w:r>
          </w:p>
        </w:tc>
      </w:tr>
      <w:tr>
        <w:tc>
          <w:tcPr>
            <w:tcW w:type="dxa" w:w="3022"/>
            <w:shd w:val="clear" w:color="auto" w:fill="FFFFFF"/>
          </w:tcPr>
          <w:p>
            <w:pPr>
              <w:spacing w:before="40" w:after="40"/>
            </w:pPr>
            <w:r>
              <w:rPr>
                <w:b w:val="0"/>
                <w:color w:val="2D2D2D"/>
                <w:sz w:val="20"/>
              </w:rPr>
              <w:t>Accelerometer signals</w:t>
            </w:r>
          </w:p>
        </w:tc>
        <w:tc>
          <w:tcPr>
            <w:tcW w:type="dxa" w:w="3022"/>
            <w:shd w:val="clear" w:color="auto" w:fill="FFFFFF"/>
          </w:tcPr>
          <w:p>
            <w:pPr>
              <w:spacing w:before="40" w:after="40"/>
            </w:pPr>
            <w:r>
              <w:rPr>
                <w:b w:val="0"/>
                <w:color w:val="2D2D2D"/>
                <w:sz w:val="20"/>
              </w:rPr>
              <w:t>NumPy arrays via generate_accelerometer_sequence() using physics-based gait equations</w:t>
            </w:r>
          </w:p>
        </w:tc>
        <w:tc>
          <w:tcPr>
            <w:tcW w:type="dxa" w:w="3022"/>
            <w:shd w:val="clear" w:color="auto" w:fill="FFFFFF"/>
          </w:tcPr>
          <w:p>
            <w:pPr>
              <w:spacing w:before="40" w:after="40"/>
            </w:pPr>
            <w:r>
              <w:rPr>
                <w:b w:val="0"/>
                <w:color w:val="2D2D2D"/>
                <w:sz w:val="20"/>
              </w:rPr>
              <w:t>No wearable device SDK was available; the equations produce clinically realistic signal shapes</w:t>
            </w:r>
          </w:p>
        </w:tc>
      </w:tr>
      <w:tr>
        <w:tc>
          <w:tcPr>
            <w:tcW w:type="dxa" w:w="3022"/>
            <w:shd w:val="clear" w:color="auto" w:fill="F0F4FA"/>
          </w:tcPr>
          <w:p>
            <w:pPr>
              <w:spacing w:before="40" w:after="40"/>
            </w:pPr>
            <w:r>
              <w:rPr>
                <w:b w:val="0"/>
                <w:color w:val="2D2D2D"/>
                <w:sz w:val="20"/>
              </w:rPr>
              <w:t>Caregiver roster</w:t>
            </w:r>
          </w:p>
        </w:tc>
        <w:tc>
          <w:tcPr>
            <w:tcW w:type="dxa" w:w="3022"/>
            <w:shd w:val="clear" w:color="auto" w:fill="F0F4FA"/>
          </w:tcPr>
          <w:p>
            <w:pPr>
              <w:spacing w:before="40" w:after="40"/>
            </w:pPr>
            <w:r>
              <w:rPr>
                <w:b w:val="0"/>
                <w:color w:val="2D2D2D"/>
                <w:sz w:val="20"/>
              </w:rPr>
              <w:t>5 hardcoded Caregiver objects</w:t>
            </w:r>
          </w:p>
        </w:tc>
        <w:tc>
          <w:tcPr>
            <w:tcW w:type="dxa" w:w="3022"/>
            <w:shd w:val="clear" w:color="auto" w:fill="F0F4FA"/>
          </w:tcPr>
          <w:p>
            <w:pPr>
              <w:spacing w:before="40" w:after="40"/>
            </w:pPr>
            <w:r>
              <w:rPr>
                <w:b w:val="0"/>
                <w:color w:val="2D2D2D"/>
                <w:sz w:val="20"/>
              </w:rPr>
              <w:t>Live HR system integration requires API credentials from a real care agency</w:t>
            </w:r>
          </w:p>
        </w:tc>
      </w:tr>
      <w:tr>
        <w:tc>
          <w:tcPr>
            <w:tcW w:type="dxa" w:w="3022"/>
            <w:shd w:val="clear" w:color="auto" w:fill="FFFFFF"/>
          </w:tcPr>
          <w:p>
            <w:pPr>
              <w:spacing w:before="40" w:after="40"/>
            </w:pPr>
            <w:r>
              <w:rPr>
                <w:b w:val="0"/>
                <w:color w:val="2D2D2D"/>
                <w:sz w:val="20"/>
              </w:rPr>
              <w:t>Care events</w:t>
            </w:r>
          </w:p>
        </w:tc>
        <w:tc>
          <w:tcPr>
            <w:tcW w:type="dxa" w:w="3022"/>
            <w:shd w:val="clear" w:color="auto" w:fill="FFFFFF"/>
          </w:tcPr>
          <w:p>
            <w:pPr>
              <w:spacing w:before="40" w:after="40"/>
            </w:pPr>
            <w:r>
              <w:rPr>
                <w:b w:val="0"/>
                <w:color w:val="2D2D2D"/>
                <w:sz w:val="20"/>
              </w:rPr>
              <w:t>3 hardcoded Event objects</w:t>
            </w:r>
          </w:p>
        </w:tc>
        <w:tc>
          <w:tcPr>
            <w:tcW w:type="dxa" w:w="3022"/>
            <w:shd w:val="clear" w:color="auto" w:fill="FFFFFF"/>
          </w:tcPr>
          <w:p>
            <w:pPr>
              <w:spacing w:before="40" w:after="40"/>
            </w:pPr>
            <w:r>
              <w:rPr>
                <w:b w:val="0"/>
                <w:color w:val="2D2D2D"/>
                <w:sz w:val="20"/>
              </w:rPr>
              <w:t>Real events require a running IoT event stream</w:t>
            </w:r>
          </w:p>
        </w:tc>
      </w:tr>
    </w:tbl>
    <w:p/>
    <w:p>
      <w:pPr>
        <w:pStyle w:val="Heading2"/>
      </w:pPr>
      <w:r>
        <w:t>What Real Data Sources Would Replace Them in Production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E3A5F"/>
          </w:tcPr>
          <w:p>
            <w:pPr>
              <w:spacing w:before="60" w:after="60"/>
            </w:pPr>
            <w:r>
              <w:rPr>
                <w:rFonts w:ascii="Calibri" w:hAnsi="Calibri"/>
                <w:b/>
                <w:color w:val="FFFFFF"/>
                <w:sz w:val="20"/>
              </w:rPr>
              <w:t>Simulated Component</w:t>
            </w:r>
          </w:p>
        </w:tc>
        <w:tc>
          <w:tcPr>
            <w:tcW w:type="dxa" w:w="4533"/>
            <w:shd w:val="clear" w:color="auto" w:fill="1E3A5F"/>
          </w:tcPr>
          <w:p>
            <w:pPr>
              <w:spacing w:before="60" w:after="60"/>
            </w:pPr>
            <w:r>
              <w:rPr>
                <w:rFonts w:ascii="Calibri" w:hAnsi="Calibri"/>
                <w:b/>
                <w:color w:val="FFFFFF"/>
                <w:sz w:val="20"/>
              </w:rPr>
              <w:t>Real Replacement</w:t>
            </w:r>
          </w:p>
        </w:tc>
      </w:tr>
      <w:tr>
        <w:tc>
          <w:tcPr>
            <w:tcW w:type="dxa" w:w="4533"/>
            <w:shd w:val="clear" w:color="auto" w:fill="F0F4FA"/>
          </w:tcPr>
          <w:p>
            <w:pPr>
              <w:spacing w:before="40" w:after="40"/>
            </w:pPr>
            <w:r>
              <w:rPr>
                <w:rFonts w:ascii="Courier New" w:hAnsi="Courier New"/>
                <w:color w:val="C7254E"/>
                <w:sz w:val="19"/>
              </w:rPr>
              <w:t>generate_singapore_seniors()</w:t>
            </w:r>
          </w:p>
        </w:tc>
        <w:tc>
          <w:tcPr>
            <w:tcW w:type="dxa" w:w="4533"/>
            <w:shd w:val="clear" w:color="auto" w:fill="F0F4FA"/>
          </w:tcPr>
          <w:p>
            <w:pPr>
              <w:spacing w:before="40" w:after="40"/>
            </w:pPr>
            <w:r>
              <w:rPr>
                <w:b w:val="0"/>
                <w:color w:val="2D2D2D"/>
                <w:sz w:val="20"/>
              </w:rPr>
              <w:t>NEHR FHIR R4 API (GET /Patient, /Observation) via IHiS HealthConnect</w:t>
            </w:r>
          </w:p>
        </w:tc>
      </w:tr>
      <w:tr>
        <w:tc>
          <w:tcPr>
            <w:tcW w:type="dxa" w:w="4533"/>
            <w:shd w:val="clear" w:color="auto" w:fill="FFFFFF"/>
          </w:tcPr>
          <w:p>
            <w:pPr>
              <w:spacing w:before="40" w:after="40"/>
            </w:pPr>
            <w:r>
              <w:rPr>
                <w:rFonts w:ascii="Courier New" w:hAnsi="Courier New"/>
                <w:color w:val="C7254E"/>
                <w:sz w:val="19"/>
              </w:rPr>
              <w:t>generate_accelerometer_sequence()</w:t>
            </w:r>
          </w:p>
        </w:tc>
        <w:tc>
          <w:tcPr>
            <w:tcW w:type="dxa" w:w="4533"/>
            <w:shd w:val="clear" w:color="auto" w:fill="FFFFFF"/>
          </w:tcPr>
          <w:p>
            <w:pPr>
              <w:spacing w:before="40" w:after="40"/>
            </w:pPr>
            <w:r>
              <w:rPr>
                <w:b w:val="0"/>
                <w:color w:val="2D2D2D"/>
                <w:sz w:val="20"/>
              </w:rPr>
              <w:t>Bluetooth/WiFi wearable SDK (Apple Watch HealthKit, Fitbit API, or SGH Research Wearable Protocol)</w:t>
            </w:r>
          </w:p>
        </w:tc>
      </w:tr>
      <w:tr>
        <w:tc>
          <w:tcPr>
            <w:tcW w:type="dxa" w:w="4533"/>
            <w:shd w:val="clear" w:color="auto" w:fill="F0F4FA"/>
          </w:tcPr>
          <w:p>
            <w:pPr>
              <w:spacing w:before="40" w:after="40"/>
            </w:pPr>
            <w:r>
              <w:rPr>
                <w:rFonts w:ascii="Courier New" w:hAnsi="Courier New"/>
                <w:color w:val="C7254E"/>
                <w:sz w:val="19"/>
              </w:rPr>
              <w:t>generate_caregivers()</w:t>
            </w:r>
          </w:p>
        </w:tc>
        <w:tc>
          <w:tcPr>
            <w:tcW w:type="dxa" w:w="4533"/>
            <w:shd w:val="clear" w:color="auto" w:fill="F0F4FA"/>
          </w:tcPr>
          <w:p>
            <w:pPr>
              <w:spacing w:before="40" w:after="40"/>
            </w:pPr>
            <w:r>
              <w:rPr>
                <w:b w:val="0"/>
                <w:color w:val="2D2D2D"/>
                <w:sz w:val="20"/>
              </w:rPr>
              <w:t>Agency HR system API or AIC Community Care workforce directory</w:t>
            </w:r>
          </w:p>
        </w:tc>
      </w:tr>
      <w:tr>
        <w:tc>
          <w:tcPr>
            <w:tcW w:type="dxa" w:w="4533"/>
            <w:shd w:val="clear" w:color="auto" w:fill="FFFFFF"/>
          </w:tcPr>
          <w:p>
            <w:pPr>
              <w:spacing w:before="40" w:after="40"/>
            </w:pPr>
            <w:r>
              <w:rPr>
                <w:rFonts w:ascii="Courier New" w:hAnsi="Courier New"/>
                <w:color w:val="C7254E"/>
                <w:sz w:val="19"/>
              </w:rPr>
              <w:t>generate_preloaded_events()</w:t>
            </w:r>
          </w:p>
        </w:tc>
        <w:tc>
          <w:tcPr>
            <w:tcW w:type="dxa" w:w="4533"/>
            <w:shd w:val="clear" w:color="auto" w:fill="FFFFFF"/>
          </w:tcPr>
          <w:p>
            <w:pPr>
              <w:spacing w:before="40" w:after="40"/>
            </w:pPr>
            <w:r>
              <w:rPr>
                <w:b w:val="0"/>
                <w:color w:val="2D2D2D"/>
                <w:sz w:val="20"/>
              </w:rPr>
              <w:t>IoT event bus (AWS IoT Core or Azure IoT Hub) receiving live sensor alerts</w:t>
            </w:r>
          </w:p>
        </w:tc>
      </w:tr>
      <w:tr>
        <w:tc>
          <w:tcPr>
            <w:tcW w:type="dxa" w:w="4533"/>
            <w:shd w:val="clear" w:color="auto" w:fill="F0F4FA"/>
          </w:tcPr>
          <w:p>
            <w:pPr>
              <w:spacing w:before="40" w:after="40"/>
            </w:pPr>
            <w:r>
              <w:rPr>
                <w:b w:val="0"/>
                <w:color w:val="2D2D2D"/>
                <w:sz w:val="20"/>
              </w:rPr>
              <w:t>Simulated NEHR_LOG action</w:t>
            </w:r>
          </w:p>
        </w:tc>
        <w:tc>
          <w:tcPr>
            <w:tcW w:type="dxa" w:w="4533"/>
            <w:shd w:val="clear" w:color="auto" w:fill="F0F4FA"/>
          </w:tcPr>
          <w:p>
            <w:pPr>
              <w:spacing w:before="40" w:after="40"/>
            </w:pPr>
            <w:r>
              <w:rPr>
                <w:b w:val="0"/>
                <w:color w:val="2D2D2D"/>
                <w:sz w:val="20"/>
              </w:rPr>
              <w:t>NEHR FHIR POST /DocumentReference via IHiS API with appropriate clinical document type</w:t>
            </w:r>
          </w:p>
        </w:tc>
      </w:tr>
    </w:tbl>
    <w:p/>
    <w:p>
      <w:pPr>
        <w:pStyle w:val="Heading2"/>
      </w:pPr>
      <w:r>
        <w:t>Highest-Priority Technical Improvement</w:t>
      </w:r>
    </w:p>
    <w:p>
      <w:r>
        <w:rPr>
          <w:b/>
          <w:color w:val="1E3A5F"/>
          <w:sz w:val="22"/>
        </w:rPr>
        <w:t>Replace the single-file architecture and add persistent storage.</w:t>
      </w:r>
    </w:p>
    <w:p>
      <w:pPr>
        <w:spacing w:before="40" w:after="120"/>
      </w:pPr>
      <w:r>
        <w:rPr>
          <w:b w:val="0"/>
          <w:color w:val="2D2D2D"/>
          <w:sz w:val="22"/>
        </w:rPr>
        <w:t xml:space="preserve">The current architecture — one 1,540-line Python file with all state in </w:t>
      </w:r>
      <w:r>
        <w:rPr>
          <w:rFonts w:ascii="Courier New" w:hAnsi="Courier New"/>
          <w:color w:val="C7254E"/>
          <w:sz w:val="21"/>
        </w:rPr>
        <w:t>st.session_state</w:t>
      </w:r>
      <w:r>
        <w:rPr>
          <w:b w:val="0"/>
          <w:color w:val="2D2D2D"/>
          <w:sz w:val="22"/>
        </w:rPr>
        <w:t xml:space="preserve"> — is the most significant constraint on turning this prototype into a production system. Every session reset loses all data. Multiple users cannot share state. No audit trail survives a browser close.</w:t>
      </w:r>
    </w:p>
    <w:p>
      <w:pPr>
        <w:spacing w:before="40" w:after="120"/>
      </w:pPr>
      <w:r>
        <w:rPr>
          <w:b w:val="0"/>
          <w:color w:val="2D2D2D"/>
          <w:sz w:val="22"/>
        </w:rPr>
        <w:t>The single highest-priority improvement is to extract the data layer into a PostgreSQL database (or SQLite for a first iteration) and the business logic into separate Python modules. This change alone enables: multi-user access with role separation, persistent care records, audit logging that survives restarts, and the ability to run background model retraining without blocking the UI.</w:t>
      </w:r>
    </w:p>
    <w:p>
      <w:pPr>
        <w:spacing w:before="40" w:after="120"/>
      </w:pPr>
      <w:r>
        <w:rPr>
          <w:b w:val="0"/>
          <w:color w:val="2D2D2D"/>
          <w:sz w:val="22"/>
        </w:rPr>
        <w:t>Estimated effort: 2–3 development sessions to migrate the data models and produce a database-backed version with full feature parity.</w:t>
      </w:r>
    </w:p>
    <w:p/>
    <w:p>
      <w:pPr>
        <w:spacing w:before="40" w:after="40"/>
        <w:pBdr>
          <w:bottom w:val="single" w:sz="6" w:space="1" w:color="1F499B"/>
        </w:pBdr>
      </w:pPr>
    </w:p>
    <w:p>
      <w:pPr>
        <w:jc w:val="center"/>
      </w:pPr>
      <w:r>
        <w:rPr>
          <w:i/>
          <w:color w:val="555555"/>
          <w:sz w:val="18"/>
        </w:rPr>
        <w:t>Report prepared from direct inspection of app.py, 04-validate/0003-redteam-validation-2026-05-22.md, briefs/001-initial-brief.md, and supporting documentation. All measured performance values sourced from the red team validation run of 22 May 2026.  |  GitHub: https://github.com/queenie9216/AgeCareAI-</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99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6BC8"/>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2D2D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