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0a7be0d9c9fe3c172b8ca46a1aab6b9d2797ec"/>
    <w:p>
      <w:pPr>
        <w:pStyle w:val="Heading1"/>
      </w:pPr>
      <w:r>
        <w:t xml:space="preserve">Akye: Improvements and Changes, 9–23 Oct 2026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about 135 non-merge commits (352 files, about +41,200 / −2,500 lines), now including everything merged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 24 Oct. Release</w:t>
      </w:r>
      <w:r>
        <w:t xml:space="preserve"> </w:t>
      </w:r>
      <w:r>
        <w:rPr>
          <w:rStyle w:val="VerbatimChar"/>
        </w:rPr>
        <w:t xml:space="preserve">akye-v2026.10.23</w:t>
      </w:r>
      <w:r>
        <w:t xml:space="preserve"> </w:t>
      </w:r>
      <w:r>
        <w:t xml:space="preserve">was cut on 23 Oct. Work after that release is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 and is marked</w:t>
      </w:r>
      <w:r>
        <w:t xml:space="preserve"> </w:t>
      </w:r>
      <w:r>
        <w:t xml:space="preserve">“</w:t>
      </w:r>
      <w:r>
        <w:t xml:space="preserve">not yet released</w:t>
      </w:r>
      <w:r>
        <w:t xml:space="preserve">”</w:t>
      </w:r>
      <w:r>
        <w:t xml:space="preserve"> </w:t>
      </w:r>
      <w:r>
        <w:t xml:space="preserve">below.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git log --since=2026-10-10</w:t>
      </w:r>
      <w:r>
        <w:t xml:space="preserve">.</w:t>
      </w:r>
    </w:p>
    <w:bookmarkStart w:id="20" w:name="highlights"/>
    <w:p>
      <w:pPr>
        <w:pStyle w:val="Heading2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Quotes became a legally trackable record. A sent offer is frozen, acceptance is all-or-nothing, and the audit trail has a hash chain.</w:t>
      </w:r>
    </w:p>
    <w:p>
      <w:pPr>
        <w:numPr>
          <w:ilvl w:val="0"/>
          <w:numId w:val="1001"/>
        </w:numPr>
        <w:pStyle w:val="Compact"/>
      </w:pPr>
      <w:r>
        <w:t xml:space="preserve">Nana, the AI assistant, now runs on Claude API credits and has a setup chat, a help guide and voice.</w:t>
      </w:r>
    </w:p>
    <w:p>
      <w:pPr>
        <w:numPr>
          <w:ilvl w:val="0"/>
          <w:numId w:val="1001"/>
        </w:numPr>
        <w:pStyle w:val="Compact"/>
      </w:pPr>
      <w:r>
        <w:t xml:space="preserve">A 30-day trial, an affiliate program and Stripe partner payouts shipped.</w:t>
      </w:r>
    </w:p>
    <w:p>
      <w:pPr>
        <w:numPr>
          <w:ilvl w:val="0"/>
          <w:numId w:val="1001"/>
        </w:numPr>
        <w:pStyle w:val="Compact"/>
      </w:pPr>
      <w:r>
        <w:t xml:space="preserve">The release process changed: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the working branch,</w:t>
      </w:r>
      <w:r>
        <w:t xml:space="preserve"> </w:t>
      </w:r>
      <w:r>
        <w:rPr>
          <w:rStyle w:val="VerbatimChar"/>
        </w:rPr>
        <w:t xml:space="preserve">akye-stable</w:t>
      </w:r>
      <w:r>
        <w:t xml:space="preserve"> </w:t>
      </w:r>
      <w:r>
        <w:t xml:space="preserve">is the release channel, and releases are gated on the commit’s checks.</w:t>
      </w:r>
    </w:p>
    <w:p>
      <w:pPr>
        <w:numPr>
          <w:ilvl w:val="0"/>
          <w:numId w:val="1001"/>
        </w:numPr>
        <w:pStyle w:val="Compact"/>
      </w:pPr>
      <w:r>
        <w:t xml:space="preserve">The Health console and backups are much stronger.</w:t>
      </w:r>
    </w:p>
    <w:bookmarkEnd w:id="20"/>
    <w:bookmarkStart w:id="21" w:name="quotes-and-commercial-integrity"/>
    <w:p>
      <w:pPr>
        <w:pStyle w:val="Heading2"/>
      </w:pPr>
      <w:r>
        <w:t xml:space="preserve">1. Quotes and commercial integrity</w:t>
      </w:r>
    </w:p>
    <w:p>
      <w:pPr>
        <w:numPr>
          <w:ilvl w:val="0"/>
          <w:numId w:val="1002"/>
        </w:numPr>
        <w:pStyle w:val="Compact"/>
      </w:pPr>
      <w:r>
        <w:t xml:space="preserve">A sent offer is never rewritten, and acceptance is all-or-nothing (audit F1–F4, #90).</w:t>
      </w:r>
    </w:p>
    <w:p>
      <w:pPr>
        <w:numPr>
          <w:ilvl w:val="0"/>
          <w:numId w:val="1002"/>
        </w:numPr>
        <w:pStyle w:val="Compact"/>
      </w:pPr>
      <w:r>
        <w:t xml:space="preserve">Sent quotes are frozen, the acceptor is recorded, and accounts are linked by key (F5–F8, #91).</w:t>
      </w:r>
    </w:p>
    <w:p>
      <w:pPr>
        <w:numPr>
          <w:ilvl w:val="0"/>
          <w:numId w:val="1002"/>
        </w:numPr>
        <w:pStyle w:val="Compact"/>
      </w:pPr>
      <w:r>
        <w:t xml:space="preserve">Agreements, amendments, delivery outcomes and an audit trail (#93).</w:t>
      </w:r>
    </w:p>
    <w:p>
      <w:pPr>
        <w:numPr>
          <w:ilvl w:val="0"/>
          <w:numId w:val="1002"/>
        </w:numPr>
        <w:pStyle w:val="Compact"/>
      </w:pPr>
      <w:r>
        <w:t xml:space="preserve">Accepted terms are locked, and non-finite inputs are rejected.</w:t>
      </w:r>
    </w:p>
    <w:p>
      <w:pPr>
        <w:numPr>
          <w:ilvl w:val="0"/>
          <w:numId w:val="1002"/>
        </w:numPr>
        <w:pStyle w:val="Compact"/>
      </w:pPr>
      <w:r>
        <w:t xml:space="preserve">Quote editor:</w:t>
      </w:r>
    </w:p>
    <w:p>
      <w:pPr>
        <w:numPr>
          <w:ilvl w:val="1"/>
          <w:numId w:val="1003"/>
        </w:numPr>
        <w:pStyle w:val="Compact"/>
      </w:pPr>
      <w:r>
        <w:t xml:space="preserve">“</w:t>
      </w:r>
      <w:r>
        <w:t xml:space="preserve">Duplicate as a new draft</w:t>
      </w:r>
      <w:r>
        <w:t xml:space="preserve">”</w:t>
      </w:r>
      <w:r>
        <w:t xml:space="preserve"> </w:t>
      </w:r>
      <w:r>
        <w:t xml:space="preserve">action.</w:t>
      </w:r>
    </w:p>
    <w:p>
      <w:pPr>
        <w:numPr>
          <w:ilvl w:val="1"/>
          <w:numId w:val="1003"/>
        </w:numPr>
        <w:pStyle w:val="Compact"/>
      </w:pPr>
      <w:r>
        <w:t xml:space="preserve">Flag when Settings rates have moved since a quote was priced.</w:t>
      </w:r>
    </w:p>
    <w:p>
      <w:pPr>
        <w:numPr>
          <w:ilvl w:val="1"/>
          <w:numId w:val="1003"/>
        </w:numPr>
        <w:pStyle w:val="Compact"/>
      </w:pPr>
      <w:r>
        <w:t xml:space="preserve">Custom lines are priced as qty × rate.</w:t>
      </w:r>
    </w:p>
    <w:p>
      <w:pPr>
        <w:numPr>
          <w:ilvl w:val="1"/>
          <w:numId w:val="1003"/>
        </w:numPr>
        <w:pStyle w:val="Compact"/>
      </w:pPr>
      <w:r>
        <w:t xml:space="preserve">One $/sq ft formatting rule shared by the page and the email.</w:t>
      </w:r>
    </w:p>
    <w:p>
      <w:pPr>
        <w:numPr>
          <w:ilvl w:val="1"/>
          <w:numId w:val="1003"/>
        </w:numPr>
        <w:pStyle w:val="Compact"/>
      </w:pPr>
      <w:r>
        <w:t xml:space="preserve">Shows other quotes written for the same account.</w:t>
      </w:r>
    </w:p>
    <w:p>
      <w:pPr>
        <w:numPr>
          <w:ilvl w:val="0"/>
          <w:numId w:val="1002"/>
        </w:numPr>
        <w:pStyle w:val="Compact"/>
      </w:pPr>
      <w:r>
        <w:t xml:space="preserve">Release-gate evidence: audit hash chain,</w:t>
      </w:r>
      <w:r>
        <w:t xml:space="preserve"> </w:t>
      </w:r>
      <w:r>
        <w:rPr>
          <w:rStyle w:val="VerbatimChar"/>
        </w:rPr>
        <w:t xml:space="preserve">certify.py</w:t>
      </w:r>
      <w:r>
        <w:t xml:space="preserve"> </w:t>
      </w:r>
      <w:r>
        <w:t xml:space="preserve">and restore checks (#97).</w:t>
      </w:r>
    </w:p>
    <w:p>
      <w:pPr>
        <w:numPr>
          <w:ilvl w:val="1"/>
          <w:numId w:val="1004"/>
        </w:numPr>
        <w:pStyle w:val="Compact"/>
      </w:pPr>
      <w:r>
        <w:t xml:space="preserve">Pre-0029 acceptances are listed as exceptions, not failures (#106).</w:t>
      </w:r>
    </w:p>
    <w:p>
      <w:pPr>
        <w:numPr>
          <w:ilvl w:val="1"/>
          <w:numId w:val="1004"/>
        </w:numPr>
        <w:pStyle w:val="Compact"/>
      </w:pPr>
      <w:r>
        <w:t xml:space="preserve">Evidence guards survive a company schema rename (0032, #107).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certify.py</w:t>
      </w:r>
      <w:r>
        <w:t xml:space="preserve"> </w:t>
      </w:r>
      <w:r>
        <w:t xml:space="preserve">zone check: a live company it can’t read is now a finding, not a pass.</w:t>
      </w:r>
    </w:p>
    <w:p>
      <w:pPr>
        <w:numPr>
          <w:ilvl w:val="1"/>
          <w:numId w:val="1004"/>
        </w:numPr>
        <w:pStyle w:val="Compact"/>
      </w:pPr>
      <w:r>
        <w:t xml:space="preserve">Stored time zones are audited, and Lewiston is now correctly Pacific.</w:t>
      </w:r>
    </w:p>
    <w:bookmarkEnd w:id="21"/>
    <w:bookmarkStart w:id="22" w:name="growth-trial-funnel-affiliates-sales"/>
    <w:p>
      <w:pPr>
        <w:pStyle w:val="Heading2"/>
      </w:pPr>
      <w:r>
        <w:t xml:space="preserve">2. Growth: trial, funnel, affiliates, sales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Trial:</w:t>
      </w:r>
      <w:r>
        <w:t xml:space="preserve"> </w:t>
      </w:r>
      <w:r>
        <w:t xml:space="preserve">one 30-day clock from signup (#130). Copy no longer says</w:t>
      </w:r>
      <w:r>
        <w:t xml:space="preserve"> </w:t>
      </w:r>
      <w:r>
        <w:t xml:space="preserve">“</w:t>
      </w:r>
      <w:r>
        <w:t xml:space="preserve">not started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Signup funnel:</w:t>
      </w:r>
      <w:r>
        <w:t xml:space="preserve"> </w:t>
      </w:r>
      <w:r>
        <w:t xml:space="preserve">email confirmation, abandoned-signup capture, first-week and moment emails, and lead nurture. Funnel emails were rewritten around owners’ real pain points.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Console Communications:</w:t>
      </w:r>
      <w:r>
        <w:t xml:space="preserve"> </w:t>
      </w:r>
      <w:r>
        <w:t xml:space="preserve">every automated email in one place.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Funnel follow-up lists:</w:t>
      </w:r>
      <w:r>
        <w:t xml:space="preserve"> </w:t>
      </w:r>
      <w:r>
        <w:t xml:space="preserve">newest first, with a label that says what the list is now. Repeat requests are sorted by last ask.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Affiliates:</w:t>
      </w:r>
    </w:p>
    <w:p>
      <w:pPr>
        <w:numPr>
          <w:ilvl w:val="1"/>
          <w:numId w:val="1006"/>
        </w:numPr>
        <w:pStyle w:val="Compact"/>
      </w:pPr>
      <w:r>
        <w:t xml:space="preserve">Partner page, attribution and 30-day trial.</w:t>
      </w:r>
    </w:p>
    <w:p>
      <w:pPr>
        <w:numPr>
          <w:ilvl w:val="1"/>
          <w:numId w:val="1006"/>
        </w:numPr>
        <w:pStyle w:val="Compact"/>
      </w:pPr>
      <w:r>
        <w:t xml:space="preserve">Commissions on shared-domain signups are held for review.</w:t>
      </w:r>
    </w:p>
    <w:p>
      <w:pPr>
        <w:numPr>
          <w:ilvl w:val="1"/>
          <w:numId w:val="1006"/>
        </w:numPr>
        <w:pStyle w:val="Compact"/>
      </w:pPr>
      <w:r>
        <w:t xml:space="preserve">A commission refunded after the partner was paid is taken back, including partial refunds.</w:t>
      </w:r>
    </w:p>
    <w:p>
      <w:pPr>
        <w:numPr>
          <w:ilvl w:val="1"/>
          <w:numId w:val="1006"/>
        </w:numPr>
        <w:pStyle w:val="Compact"/>
      </w:pPr>
      <w:r>
        <w:t xml:space="preserve">Stripe transfer payouts, which fail closed if the switch is unreadable, reconcile aged retries with Stripe, and never accept a reversed transfer.</w:t>
      </w:r>
    </w:p>
    <w:p>
      <w:pPr>
        <w:numPr>
          <w:ilvl w:val="1"/>
          <w:numId w:val="1006"/>
        </w:numPr>
        <w:pStyle w:val="Compact"/>
      </w:pPr>
      <w:r>
        <w:t xml:space="preserve">The console can link a company to its Stripe customer and subscription.</w:t>
      </w:r>
    </w:p>
    <w:p>
      <w:pPr>
        <w:numPr>
          <w:ilvl w:val="1"/>
          <w:numId w:val="1006"/>
        </w:numPr>
        <w:pStyle w:val="Compact"/>
      </w:pPr>
      <w:r>
        <w:t xml:space="preserve">Affiliate marketing strategy and action plan documented.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Sales reps:</w:t>
      </w:r>
      <w:r>
        <w:t xml:space="preserve"> </w:t>
      </w:r>
      <w:r>
        <w:t xml:space="preserve">daily call targets, an owner’s Team page, and</w:t>
      </w:r>
      <w:r>
        <w:t xml:space="preserve"> </w:t>
      </w:r>
      <w:r>
        <w:t xml:space="preserve">“</w:t>
      </w:r>
      <w:r>
        <w:t xml:space="preserve">My numbers</w:t>
      </w:r>
      <w:r>
        <w:t xml:space="preserve">”</w:t>
      </w:r>
      <w:r>
        <w:t xml:space="preserve"> </w:t>
      </w:r>
      <w:r>
        <w:t xml:space="preserve">(#73).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BrightNest demo:</w:t>
      </w:r>
      <w:r>
        <w:t xml:space="preserve"> </w:t>
      </w:r>
      <w:r>
        <w:t xml:space="preserve">price list lifted 12%, for about +40% net profit (#108, #129).</w:t>
      </w:r>
    </w:p>
    <w:bookmarkEnd w:id="22"/>
    <w:bookmarkStart w:id="23" w:name="nana-ai-and-onboarding"/>
    <w:p>
      <w:pPr>
        <w:pStyle w:val="Heading2"/>
      </w:pPr>
      <w:r>
        <w:t xml:space="preserve">3. Nana, AI and onboarding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Claude API credits:</w:t>
      </w:r>
      <w:r>
        <w:t xml:space="preserve"> </w:t>
      </w:r>
      <w:r>
        <w:t xml:space="preserve">Nana, drafts, translation and content (#100). The setup chat on Getting started also uses them (#99).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Nana features:</w:t>
      </w:r>
      <w:r>
        <w:t xml:space="preserve"> </w:t>
      </w:r>
      <w:r>
        <w:t xml:space="preserve">help guide, welcome pop-up and voice (#101). Nana asks a model that exists and says so when it can’t (#111).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Deposit messages:</w:t>
      </w:r>
      <w:r>
        <w:t xml:space="preserve"> </w:t>
      </w:r>
      <w:r>
        <w:t xml:space="preserve">these now use the business’s own Pricing amount, not a fixed $50 (#102, #103).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Setup flow:</w:t>
      </w:r>
    </w:p>
    <w:p>
      <w:pPr>
        <w:numPr>
          <w:ilvl w:val="1"/>
          <w:numId w:val="1008"/>
        </w:numPr>
        <w:pStyle w:val="Compact"/>
      </w:pPr>
      <w:r>
        <w:t xml:space="preserve">No dead ends between steps (#105).</w:t>
      </w:r>
    </w:p>
    <w:p>
      <w:pPr>
        <w:numPr>
          <w:ilvl w:val="1"/>
          <w:numId w:val="1008"/>
        </w:numPr>
        <w:pStyle w:val="Compact"/>
      </w:pPr>
      <w:r>
        <w:t xml:space="preserve">Setup asks for what you can’t trade without (#115).</w:t>
      </w:r>
    </w:p>
    <w:p>
      <w:pPr>
        <w:numPr>
          <w:ilvl w:val="1"/>
          <w:numId w:val="1008"/>
        </w:numPr>
        <w:pStyle w:val="Compact"/>
      </w:pPr>
      <w:r>
        <w:t xml:space="preserve">Setup can be walked end to end, and a refused signup can be explained (#120).</w:t>
      </w:r>
    </w:p>
    <w:p>
      <w:pPr>
        <w:numPr>
          <w:ilvl w:val="1"/>
          <w:numId w:val="1008"/>
        </w:numPr>
        <w:pStyle w:val="Compact"/>
      </w:pPr>
      <w:r>
        <w:t xml:space="preserve">The step number matches the meter, and terms are editable (#122).</w:t>
      </w:r>
    </w:p>
    <w:p>
      <w:pPr>
        <w:numPr>
          <w:ilvl w:val="1"/>
          <w:numId w:val="1008"/>
        </w:numPr>
        <w:pStyle w:val="Compact"/>
      </w:pPr>
      <w:r>
        <w:t xml:space="preserve">Finishing setup and connecting payments read as one line (#123).</w:t>
      </w:r>
    </w:p>
    <w:p>
      <w:pPr>
        <w:numPr>
          <w:ilvl w:val="1"/>
          <w:numId w:val="1008"/>
        </w:numPr>
        <w:pStyle w:val="Compact"/>
      </w:pPr>
      <w:r>
        <w:t xml:space="preserve">Balance is one question on one card, and payments are asked once (#138).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Other UI changes:</w:t>
      </w:r>
      <w:r>
        <w:t xml:space="preserve"> </w:t>
      </w:r>
      <w:r>
        <w:t xml:space="preserve">“</w:t>
      </w:r>
      <w:r>
        <w:t xml:space="preserve">One card for one question: who is doing this job</w:t>
      </w:r>
      <w:r>
        <w:t xml:space="preserve">”</w:t>
      </w:r>
      <w:r>
        <w:t xml:space="preserve"> </w:t>
      </w:r>
      <w:r>
        <w:t xml:space="preserve">(#82).</w:t>
      </w:r>
      <w:r>
        <w:t xml:space="preserve"> </w:t>
      </w:r>
      <w:r>
        <w:t xml:space="preserve">“</w:t>
      </w:r>
      <w:r>
        <w:t xml:space="preserve">Four moments and a drawer, instead of eleven boxes</w:t>
      </w:r>
      <w:r>
        <w:t xml:space="preserve">”</w:t>
      </w:r>
      <w:r>
        <w:t xml:space="preserve"> </w:t>
      </w:r>
      <w:r>
        <w:t xml:space="preserve">(#86). Help tips on hover, focus and tap, with dots on unopened features and one suggestion per sign-in (#80, #81). The deposit request is back where it can be seen (#79).</w:t>
      </w:r>
      <w:r>
        <w:t xml:space="preserve"> </w:t>
      </w:r>
      <w:r>
        <w:t xml:space="preserve">“</w:t>
      </w:r>
      <w:r>
        <w:t xml:space="preserve">How many cleaners</w:t>
      </w:r>
      <w:r>
        <w:t xml:space="preserve">”</w:t>
      </w:r>
      <w:r>
        <w:t xml:space="preserve"> </w:t>
      </w:r>
      <w:r>
        <w:t xml:space="preserve">is now a decision (Monica Lewis).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Surveys and videos:</w:t>
      </w:r>
      <w:r>
        <w:t xml:space="preserve"> </w:t>
      </w:r>
      <w:r>
        <w:t xml:space="preserve">survey of existing businesses, with Nana answering two questions (#118). Three onboarding video scripts mapped to Getting started, and an overview video showing a job going out to the team and being claimed.</w:t>
      </w:r>
    </w:p>
    <w:bookmarkEnd w:id="23"/>
    <w:bookmarkStart w:id="24" w:name="jobs-and-bookings"/>
    <w:p>
      <w:pPr>
        <w:pStyle w:val="Heading2"/>
      </w:pPr>
      <w:r>
        <w:t xml:space="preserve">4. Jobs and bookings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Photos and close-out:</w:t>
      </w:r>
      <w:r>
        <w:t xml:space="preserve"> </w:t>
      </w:r>
      <w:r>
        <w:t xml:space="preserve">photos are optional to close a job, with a manual</w:t>
      </w:r>
      <w:r>
        <w:t xml:space="preserve"> </w:t>
      </w:r>
      <w:r>
        <w:t xml:space="preserve">“</w:t>
      </w:r>
      <w:r>
        <w:t xml:space="preserve">Mark complete</w:t>
      </w:r>
      <w:r>
        <w:t xml:space="preserve">”</w:t>
      </w:r>
      <w:r>
        <w:t xml:space="preserve">. Clock-in and checklist are enforced server-side on close-out. Held jobs block one-click complete. Photo checklist wording is migrated per company (0033).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Book again:</w:t>
      </w:r>
      <w:r>
        <w:t xml:space="preserve"> </w:t>
      </w:r>
      <w:r>
        <w:t xml:space="preserve">repeat a completed booking as a one-off, linked to the original.</w:t>
      </w:r>
    </w:p>
    <w:p>
      <w:pPr>
        <w:numPr>
          <w:ilvl w:val="1"/>
          <w:numId w:val="1010"/>
        </w:numPr>
        <w:pStyle w:val="Compact"/>
      </w:pPr>
      <w:r>
        <w:t xml:space="preserve">It enforces the job limit and carries the accepted checklist.</w:t>
      </w:r>
    </w:p>
    <w:p>
      <w:pPr>
        <w:numPr>
          <w:ilvl w:val="1"/>
          <w:numId w:val="1010"/>
        </w:numPr>
        <w:pStyle w:val="Compact"/>
      </w:pPr>
      <w:r>
        <w:t xml:space="preserve">It handles crew jobs and picks the last clean by completion date.</w:t>
      </w:r>
    </w:p>
    <w:p>
      <w:pPr>
        <w:numPr>
          <w:ilvl w:val="1"/>
          <w:numId w:val="1010"/>
        </w:numPr>
        <w:pStyle w:val="Compact"/>
      </w:pPr>
      <w:r>
        <w:t xml:space="preserve">It is classified in the role matrix.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Review fixes (21 Oct):</w:t>
      </w:r>
    </w:p>
    <w:p>
      <w:pPr>
        <w:numPr>
          <w:ilvl w:val="1"/>
          <w:numId w:val="1011"/>
        </w:numPr>
        <w:pStyle w:val="Compact"/>
      </w:pPr>
      <w:r>
        <w:t xml:space="preserve">City switch.</w:t>
      </w:r>
    </w:p>
    <w:p>
      <w:pPr>
        <w:numPr>
          <w:ilvl w:val="1"/>
          <w:numId w:val="1011"/>
        </w:numPr>
        <w:pStyle w:val="Compact"/>
      </w:pPr>
      <w:r>
        <w:t xml:space="preserve">Interview uploads.</w:t>
      </w:r>
    </w:p>
    <w:p>
      <w:pPr>
        <w:numPr>
          <w:ilvl w:val="1"/>
          <w:numId w:val="1011"/>
        </w:numPr>
        <w:pStyle w:val="Compact"/>
      </w:pPr>
      <w:r>
        <w:t xml:space="preserve">Backup anchor.</w:t>
      </w:r>
    </w:p>
    <w:p>
      <w:pPr>
        <w:numPr>
          <w:ilvl w:val="1"/>
          <w:numId w:val="1011"/>
        </w:numPr>
        <w:pStyle w:val="Compact"/>
      </w:pPr>
      <w:r>
        <w:t xml:space="preserve">Trial end.</w:t>
      </w:r>
    </w:p>
    <w:p>
      <w:pPr>
        <w:numPr>
          <w:ilvl w:val="1"/>
          <w:numId w:val="1011"/>
        </w:numPr>
        <w:pStyle w:val="Compact"/>
      </w:pPr>
      <w:r>
        <w:t xml:space="preserve">Terms window.</w:t>
      </w:r>
    </w:p>
    <w:p>
      <w:pPr>
        <w:numPr>
          <w:ilvl w:val="1"/>
          <w:numId w:val="1011"/>
        </w:numPr>
        <w:pStyle w:val="Compact"/>
      </w:pPr>
      <w:r>
        <w:t xml:space="preserve">ZIP zones, including mixed ZIP prefixes.</w:t>
      </w:r>
    </w:p>
    <w:p>
      <w:pPr>
        <w:numPr>
          <w:ilvl w:val="1"/>
          <w:numId w:val="1011"/>
        </w:numPr>
        <w:pStyle w:val="Compact"/>
      </w:pPr>
      <w:r>
        <w:t xml:space="preserve">Rollback per line.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Console:</w:t>
      </w:r>
      <w:r>
        <w:t xml:space="preserve"> </w:t>
      </w:r>
      <w:r>
        <w:t xml:space="preserve">companies are listed newest first, with search and archive. Close, export and purge controls were ported to</w:t>
      </w:r>
      <w:r>
        <w:t xml:space="preserve"> </w:t>
      </w:r>
      <w:r>
        <w:rPr>
          <w:rStyle w:val="VerbatimChar"/>
        </w:rPr>
        <w:t xml:space="preserve">akye-stable</w:t>
      </w:r>
      <w:r>
        <w:t xml:space="preserve">.</w:t>
      </w:r>
    </w:p>
    <w:bookmarkEnd w:id="24"/>
    <w:bookmarkStart w:id="25" w:name="reliability-health-and-operations"/>
    <w:p>
      <w:pPr>
        <w:pStyle w:val="Heading2"/>
      </w:pPr>
      <w:r>
        <w:t xml:space="preserve">5. Reliability, Health and operations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Health upgrade:</w:t>
      </w:r>
      <w:r>
        <w:t xml:space="preserve"> </w:t>
      </w:r>
      <w:r>
        <w:t xml:space="preserve">backups, background jobs, platform errors, usage and switches (#109).</w:t>
      </w:r>
    </w:p>
    <w:p>
      <w:pPr>
        <w:numPr>
          <w:ilvl w:val="1"/>
          <w:numId w:val="1013"/>
        </w:numPr>
        <w:pStyle w:val="Compact"/>
      </w:pPr>
      <w:r>
        <w:t xml:space="preserve">Review fixes: server errors stay pending, unmapped refunds retry, and every backup target is listed.</w:t>
      </w:r>
    </w:p>
    <w:p>
      <w:pPr>
        <w:numPr>
          <w:ilvl w:val="1"/>
          <w:numId w:val="1013"/>
        </w:numPr>
        <w:pStyle w:val="Compact"/>
      </w:pPr>
      <w:r>
        <w:t xml:space="preserve">Nana failures are two rows, not one with the message overwritten (#114).</w:t>
      </w:r>
    </w:p>
    <w:p>
      <w:pPr>
        <w:numPr>
          <w:ilvl w:val="1"/>
          <w:numId w:val="1013"/>
        </w:numPr>
        <w:pStyle w:val="Compact"/>
      </w:pPr>
      <w:r>
        <w:t xml:space="preserve">The button no longer looks like a question box, and flashes have a colour (#113).</w:t>
      </w:r>
    </w:p>
    <w:p>
      <w:pPr>
        <w:numPr>
          <w:ilvl w:val="1"/>
          <w:numId w:val="1013"/>
        </w:numPr>
        <w:pStyle w:val="Compact"/>
      </w:pPr>
      <w:r>
        <w:t xml:space="preserve">The errors page records database crashes and keeps no customer values (#110).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Backups:</w:t>
      </w:r>
    </w:p>
    <w:p>
      <w:pPr>
        <w:numPr>
          <w:ilvl w:val="1"/>
          <w:numId w:val="1014"/>
        </w:numPr>
        <w:pStyle w:val="Compact"/>
      </w:pPr>
      <w:r>
        <w:t xml:space="preserve">A restore is held to evidence only where the source had an audit chain.</w:t>
      </w:r>
    </w:p>
    <w:p>
      <w:pPr>
        <w:numPr>
          <w:ilvl w:val="1"/>
          <w:numId w:val="1014"/>
        </w:numPr>
        <w:pStyle w:val="Compact"/>
      </w:pPr>
      <w:r>
        <w:t xml:space="preserve">The backup name for the</w:t>
      </w:r>
      <w:r>
        <w:t xml:space="preserve"> </w:t>
      </w:r>
      <w:r>
        <w:t xml:space="preserve">“</w:t>
      </w:r>
      <w:r>
        <w:t xml:space="preserve">-1</w:t>
      </w:r>
      <w:r>
        <w:t xml:space="preserve">”</w:t>
      </w:r>
      <w:r>
        <w:t xml:space="preserve"> </w:t>
      </w:r>
      <w:r>
        <w:t xml:space="preserve">run was fixed.</w:t>
      </w:r>
    </w:p>
    <w:p>
      <w:pPr>
        <w:numPr>
          <w:ilvl w:val="1"/>
          <w:numId w:val="101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test_backup</w:t>
      </w:r>
      <w:r>
        <w:t xml:space="preserve"> </w:t>
      </w:r>
      <w:r>
        <w:t xml:space="preserve">timing flake was fixed.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one connection pool per process (</w:t>
      </w:r>
      <w:r>
        <w:rPr>
          <w:rStyle w:val="VerbatimChar"/>
        </w:rPr>
        <w:t xml:space="preserve">provisioning._engine()</w:t>
      </w:r>
      <w:r>
        <w:t xml:space="preserve"> </w:t>
      </w:r>
      <w:r>
        <w:t xml:space="preserve">reuses its engine). A post-0031 schema without its chain is refused.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a rogue-code and loose-ends review (#95). The cron-key check was hardened, and the Stripe payout confirm dialog now escapes the partner name and amount.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Loose ends (#98):</w:t>
      </w:r>
      <w:r>
        <w:t xml:space="preserve"> </w:t>
      </w:r>
      <w:r>
        <w:t xml:space="preserve">flaky crew-hours check fixed, dependencies pinned, stale cards removed, Node 24 actions.</w:t>
      </w:r>
    </w:p>
    <w:bookmarkEnd w:id="25"/>
    <w:bookmarkStart w:id="26" w:name="release-process"/>
    <w:p>
      <w:pPr>
        <w:pStyle w:val="Heading2"/>
      </w:pPr>
      <w:r>
        <w:t xml:space="preserve">6. Release process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is Akye’s working branch and</w:t>
      </w:r>
      <w:r>
        <w:t xml:space="preserve"> </w:t>
      </w:r>
      <w:r>
        <w:rPr>
          <w:rStyle w:val="VerbatimChar"/>
        </w:rPr>
        <w:t xml:space="preserve">akye-stable</w:t>
      </w:r>
      <w:r>
        <w:t xml:space="preserve"> </w:t>
      </w:r>
      <w:r>
        <w:t xml:space="preserve">is its release channel. CI, nightly backup and</w:t>
      </w:r>
      <w:r>
        <w:t xml:space="preserve"> </w:t>
      </w:r>
      <w:r>
        <w:rPr>
          <w:rStyle w:val="VerbatimChar"/>
        </w:rPr>
        <w:t xml:space="preserve">release.py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 release gates on the commit’s checks, and production runs the release.</w:t>
      </w:r>
    </w:p>
    <w:p>
      <w:pPr>
        <w:numPr>
          <w:ilvl w:val="0"/>
          <w:numId w:val="1015"/>
        </w:numPr>
        <w:pStyle w:val="Compact"/>
      </w:pPr>
      <w:r>
        <w:t xml:space="preserve">The release tag records its checks, migration head and way back.</w:t>
      </w:r>
    </w:p>
    <w:p>
      <w:pPr>
        <w:numPr>
          <w:ilvl w:val="0"/>
          <w:numId w:val="1015"/>
        </w:numPr>
        <w:pStyle w:val="Compact"/>
      </w:pPr>
      <w:r>
        <w:t xml:space="preserve">A by-hand release needs run links and a second person.</w:t>
      </w:r>
    </w:p>
    <w:p>
      <w:pPr>
        <w:numPr>
          <w:ilvl w:val="0"/>
          <w:numId w:val="1015"/>
        </w:numPr>
        <w:pStyle w:val="Compact"/>
      </w:pPr>
      <w:r>
        <w:t xml:space="preserve">Fixes were ported between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akye-stable</w:t>
      </w:r>
      <w:r>
        <w:t xml:space="preserve">: affiliates, Health, payouts and migration IDs.</w:t>
      </w:r>
    </w:p>
    <w:p>
      <w:pPr>
        <w:numPr>
          <w:ilvl w:val="0"/>
          <w:numId w:val="1015"/>
        </w:numPr>
        <w:pStyle w:val="Compact"/>
      </w:pPr>
      <w:r>
        <w:t xml:space="preserve">White-label sweep: no business name in the source.</w:t>
      </w:r>
      <w:r>
        <w:t xml:space="preserve"> </w:t>
      </w:r>
      <w:r>
        <w:rPr>
          <w:rStyle w:val="VerbatimChar"/>
        </w:rPr>
        <w:t xml:space="preserve">release.py</w:t>
      </w:r>
      <w:r>
        <w:t xml:space="preserve"> </w:t>
      </w:r>
      <w:r>
        <w:t xml:space="preserve">is exempt because it names git branches.</w:t>
      </w:r>
    </w:p>
    <w:p>
      <w:pPr>
        <w:numPr>
          <w:ilvl w:val="0"/>
          <w:numId w:val="1015"/>
        </w:numPr>
        <w:pStyle w:val="Compact"/>
      </w:pPr>
      <w:r>
        <w:t xml:space="preserve">Remediation report of 19 Oct (#128) and a 22 Oct report.</w:t>
      </w:r>
    </w:p>
    <w:bookmarkEnd w:id="26"/>
    <w:bookmarkStart w:id="27" w:name="X068ca980f857732e3a254ff1e8e2f26e3dff7dc"/>
    <w:p>
      <w:pPr>
        <w:pStyle w:val="Heading2"/>
      </w:pPr>
      <w:r>
        <w:t xml:space="preserve">7. Added since the 23 Oct release (on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not yet released)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Console Release page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/console/release</w:t>
      </w:r>
      <w:r>
        <w:t xml:space="preserve"> </w:t>
      </w:r>
      <w:r>
        <w:t xml:space="preserve">(#154): reviews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akye-stable</w:t>
      </w:r>
      <w:r>
        <w:t xml:space="preserve"> </w:t>
      </w:r>
      <w:r>
        <w:t xml:space="preserve">and lists blockers. It has a Release button (</w:t>
      </w:r>
      <w:r>
        <w:rPr>
          <w:rStyle w:val="VerbatimChar"/>
        </w:rPr>
        <w:t xml:space="preserve">/console/release/go</w:t>
      </w:r>
      <w:r>
        <w:t xml:space="preserve">) and a Roll back button (</w:t>
      </w:r>
      <w:r>
        <w:rPr>
          <w:rStyle w:val="VerbatimChar"/>
        </w:rPr>
        <w:t xml:space="preserve">/console/release/rollback</w:t>
      </w:r>
      <w:r>
        <w:t xml:space="preserve">). The review binds to both ends of the reviewed diff, snapshots by commit, and uses wider risk patterns. The repo name comes from</w:t>
      </w:r>
      <w:r>
        <w:t xml:space="preserve"> </w:t>
      </w:r>
      <w:r>
        <w:rPr>
          <w:rStyle w:val="VerbatimChar"/>
        </w:rPr>
        <w:t xml:space="preserve">GITHUB_REPO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Commercial accounts:</w:t>
      </w:r>
      <w:r>
        <w:t xml:space="preserve"> </w:t>
      </w:r>
      <w:r>
        <w:t xml:space="preserve">book scheduled, confirmed jobs paid by card or invoice. Jobs get full repeats, no residential commission, a real morning invoice and scope fixes. Commercial jobs pay the commercial cleaner cost, not the residential rate. Migration renumbered to 0035.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Pay rate:</w:t>
      </w:r>
      <w:r>
        <w:t xml:space="preserve"> </w:t>
      </w:r>
      <w:r>
        <w:t xml:space="preserve">new companies start paying cleaners $25 an hour. Existing companies keep theirs, and restoring an old backup keeps $43.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Simpler booking (#148):</w:t>
      </w:r>
      <w:r>
        <w:t xml:space="preserve"> </w:t>
      </w:r>
      <w:r>
        <w:t xml:space="preserve">New Booking form, and one place for each fact on the booking page.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Book again:</w:t>
      </w:r>
      <w:r>
        <w:t xml:space="preserve"> </w:t>
      </w:r>
      <w:r>
        <w:t xml:space="preserve">the form is an inline expandable at the top of the booking. It posts in the background, confirms inline, is safe to retry, and uses one-off confirmation wording.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Console:</w:t>
      </w:r>
    </w:p>
    <w:p>
      <w:pPr>
        <w:numPr>
          <w:ilvl w:val="1"/>
          <w:numId w:val="1017"/>
        </w:numPr>
        <w:pStyle w:val="Compact"/>
      </w:pPr>
      <w:r>
        <w:t xml:space="preserve">Support meter, owner activity, and three</w:t>
      </w:r>
      <w:r>
        <w:t xml:space="preserve"> </w:t>
      </w:r>
      <w:r>
        <w:t xml:space="preserve">“</w:t>
      </w:r>
      <w:r>
        <w:t xml:space="preserve">gone quiet</w:t>
      </w:r>
      <w:r>
        <w:t xml:space="preserve">”</w:t>
      </w:r>
      <w:r>
        <w:t xml:space="preserve"> </w:t>
      </w:r>
      <w:r>
        <w:t xml:space="preserve">emails (off until switched on). The meter counts done visits, and a switched-off email no longer holds the next.</w:t>
      </w:r>
    </w:p>
    <w:p>
      <w:pPr>
        <w:numPr>
          <w:ilvl w:val="1"/>
          <w:numId w:val="1017"/>
        </w:numPr>
        <w:pStyle w:val="Compact"/>
      </w:pPr>
      <w:r>
        <w:t xml:space="preserve">Companies table reads company, then Support.</w:t>
      </w:r>
    </w:p>
    <w:p>
      <w:pPr>
        <w:numPr>
          <w:ilvl w:val="1"/>
          <w:numId w:val="1017"/>
        </w:numPr>
        <w:pStyle w:val="Compact"/>
      </w:pPr>
      <w:r>
        <w:t xml:space="preserve">Partners pages drop the funnel tabs.</w:t>
      </w:r>
    </w:p>
    <w:p>
      <w:pPr>
        <w:numPr>
          <w:ilvl w:val="1"/>
          <w:numId w:val="1017"/>
        </w:numPr>
        <w:pStyle w:val="Compact"/>
      </w:pPr>
      <w:r>
        <w:t xml:space="preserve">Three false console errors were fixed.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City switch:</w:t>
      </w:r>
      <w:r>
        <w:t xml:space="preserve"> </w:t>
      </w:r>
      <w:r>
        <w:t xml:space="preserve">one login, two cities. The menu reads each company’s own city.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Charging safety:</w:t>
      </w:r>
      <w:r>
        <w:t xml:space="preserve"> </w:t>
      </w:r>
      <w:r>
        <w:t xml:space="preserve">two clocks must not charge one card twice. A runbook describes how the charging clock moves.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Earlier work now merged in:</w:t>
      </w:r>
      <w:r>
        <w:t xml:space="preserve"> </w:t>
      </w:r>
      <w:r>
        <w:t xml:space="preserve">the confirmation email carries the terms. The blog moved off the application. Interview recordings are signed on upload and private on read. Interview-recording evidence is inside the release gate, and a purged company takes its recordings with it.</w:t>
      </w:r>
    </w:p>
    <w:bookmarkEnd w:id="27"/>
    <w:bookmarkStart w:id="28" w:name="follow-ups-seen-in-the-log"/>
    <w:p>
      <w:pPr>
        <w:pStyle w:val="Heading2"/>
      </w:pPr>
      <w:r>
        <w:t xml:space="preserve">Follow-ups seen in the log</w:t>
      </w:r>
    </w:p>
    <w:p>
      <w:pPr>
        <w:numPr>
          <w:ilvl w:val="0"/>
          <w:numId w:val="1018"/>
        </w:numPr>
        <w:pStyle w:val="Compact"/>
      </w:pPr>
      <w:r>
        <w:t xml:space="preserve">Two ports left photo-wording migration 0021 as a no-op, so stamped databases keep resolving. Keep that in mind before renumbering migrations.</w:t>
      </w:r>
    </w:p>
    <w:p>
      <w:pPr>
        <w:numPr>
          <w:ilvl w:val="0"/>
          <w:numId w:val="1018"/>
        </w:numPr>
        <w:pStyle w:val="Compact"/>
      </w:pPr>
      <w:r>
        <w:t xml:space="preserve">Manual releases need a second person, so schedule that into release days.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2026-10-24T13:28:13Z</dcterms:created>
  <dcterms:modified xsi:type="dcterms:W3CDTF">2026-10-24T13:28:13Z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