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HIGH COURT OF JUSTICE</w:t>
      </w:r>
    </w:p>
    <w:p>
      <w:pPr>
        <w:pStyle w:val="Heading2"/>
      </w:pPr>
      <w:r>
        <w:t>COMMERCIAL DIVISION - ACCRA</w:t>
      </w:r>
    </w:p>
    <w:p>
      <w:r>
        <w:t>SUIT NO: HC/2026/ACCRA/094</w:t>
      </w:r>
    </w:p>
    <w:p>
      <w:r>
        <w:t>BETWEEN:</w:t>
      </w:r>
    </w:p>
    <w:p>
      <w:r>
        <w:t>[PLAINTIFF NAME]                          ... PLAINTIFF</w:t>
      </w:r>
    </w:p>
    <w:p>
      <w:r>
        <w:t>AND</w:t>
      </w:r>
    </w:p>
    <w:p>
      <w:r>
        <w:t>KOFI MENSAH                                ... DEFENDANT</w:t>
      </w:r>
    </w:p>
    <w:p>
      <w:pPr>
        <w:pStyle w:val="Heading2"/>
      </w:pPr>
      <w:r>
        <w:t>CONSENT ORDER AND PAYMENT TERMS</w:t>
      </w:r>
    </w:p>
    <w:p>
      <w:r>
        <w:t>UPON HEARING Counsel for the Plaintiff and the Defendant agreeing to terms of settlement, IT IS HEREBY ORDERED BY CONSENT that:</w:t>
      </w:r>
    </w:p>
    <w:p>
      <w:r>
        <w:t>1. The Defendant shall pay to the Plaintiff the total sum of USD 24,000.00 in full settlement.</w:t>
      </w:r>
    </w:p>
    <w:p>
      <w:r>
        <w:t>2. The amount shall be liquidated in 6 equal consecutive monthly instalments of USD 4,000.00 each.</w:t>
      </w:r>
    </w:p>
    <w:p>
      <w:r>
        <w:t>3. The first instalment shall become due and payable on the 1st day of next month.</w:t>
      </w:r>
    </w:p>
    <w:p>
      <w:r>
        <w:t>4. An agreed interest rate of 5.0% per annum shall apply on the outstanding principal balance.</w:t>
      </w:r>
    </w:p>
    <w:p>
      <w:r>
        <w:t>5. In the event of default on any instalment exceeding a grace period of 7 days, a default penalty of 2.0% shall immediately apply on all overdue arrears.</w:t>
      </w:r>
    </w:p>
    <w:p>
      <w:r>
        <w:t>6. All payments shall be made in USD or equivalent currency 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