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Livret du formateur — argumentaire diapo par diapo</w:t>
      </w:r>
    </w:p>
    <w:p>
      <w:pPr>
        <w:spacing w:after="80"/>
      </w:pPr>
      <w:r>
        <w:rPr>
          <w:b/>
          <w:bCs/>
          <w:sz w:val="20"/>
          <w:szCs w:val="20"/>
        </w:rPr>
        <w:t xml:space="preserve">Support : diaporama « Accident du travail &amp; maladie professionnelle » (CGT Occitanie, 2 jours). </w:t>
      </w:r>
      <w:r>
        <w:rPr>
          <w:color w:val="5A5A5A"/>
          <w:sz w:val="20"/>
          <w:szCs w:val="20"/>
        </w:rPr>
        <w:t xml:space="preserve">Pour chaque diapositive : le message-clé, les points à développer à l’oral, les références juridiques et l’angle CGT. Les montants, taux et numéros de formulaires sont à actualiser au moment de la session.</w:t>
      </w:r>
    </w:p>
    <w:p>
      <w:pPr>
        <w:pStyle w:val="Heading2"/>
      </w:pPr>
      <w:r>
        <w:t xml:space="preserve">Ouverture</w:t>
      </w:r>
    </w:p>
    <w:p>
      <w:pPr>
        <w:pStyle w:val="Heading3"/>
      </w:pPr>
      <w:r>
        <w:rPr>
          <w:color w:val="5A5A5A"/>
        </w:rPr>
        <w:t xml:space="preserve">Diapo 1 · </w:t>
      </w:r>
      <w:r>
        <w:t xml:space="preserve">Page de titre</w:t>
      </w:r>
    </w:p>
    <w:p>
      <w:pPr>
        <w:spacing w:after="60"/>
      </w:pPr>
      <w:r>
        <w:rPr>
          <w:b/>
          <w:bCs/>
          <w:color w:val="E2001A"/>
          <w:sz w:val="19"/>
          <w:szCs w:val="19"/>
        </w:rPr>
        <w:t xml:space="preserve">Message clé : </w:t>
      </w:r>
      <w:r>
        <w:rPr>
          <w:b/>
          <w:bCs/>
          <w:sz w:val="19"/>
          <w:szCs w:val="19"/>
        </w:rPr>
        <w:t xml:space="preserve">Poser le cadre et la méthode CGT.</w:t>
      </w:r>
    </w:p>
    <w:p>
      <w:pPr>
        <w:spacing w:after="20"/>
      </w:pPr>
      <w:r>
        <w:rPr>
          <w:i/>
          <w:iCs/>
          <w:color w:val="5A5A5A"/>
          <w:sz w:val="18"/>
          <w:szCs w:val="18"/>
        </w:rPr>
        <w:t xml:space="preserve">À développer :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sz w:val="19"/>
          <w:szCs w:val="19"/>
        </w:rPr>
        <w:t xml:space="preserve">Présenter les animateur·rices, le déroulé sur 2 jours et les objectifs.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sz w:val="19"/>
          <w:szCs w:val="19"/>
        </w:rPr>
        <w:t xml:space="preserve">Annoncer la méthode : on part du vécu des stagiaires, pas d’un cours magistral.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sz w:val="19"/>
          <w:szCs w:val="19"/>
        </w:rPr>
        <w:t xml:space="preserve">Rappeler que la santé au travail est un champ d’action syndicale, pas un sujet « technique » réservé aux experts.</w:t>
      </w:r>
    </w:p>
    <w:p>
      <w:pPr>
        <w:pBdr>
          <w:bottom w:val="single" w:color="E6E6E6" w:sz="4" w:space="4"/>
        </w:pBdr>
        <w:spacing w:after="60"/>
      </w:pPr>
      <w:r>
        <w:t xml:space="preserve"/>
      </w:r>
    </w:p>
    <w:p>
      <w:pPr>
        <w:pStyle w:val="Heading3"/>
      </w:pPr>
      <w:r>
        <w:rPr>
          <w:color w:val="5A5A5A"/>
        </w:rPr>
        <w:t xml:space="preserve">Diapo 2 · </w:t>
      </w:r>
      <w:r>
        <w:t xml:space="preserve">Objectifs de la formation</w:t>
      </w:r>
    </w:p>
    <w:p>
      <w:pPr>
        <w:spacing w:after="60"/>
      </w:pPr>
      <w:r>
        <w:rPr>
          <w:b/>
          <w:bCs/>
          <w:color w:val="E2001A"/>
          <w:sz w:val="19"/>
          <w:szCs w:val="19"/>
        </w:rPr>
        <w:t xml:space="preserve">Message clé : </w:t>
      </w:r>
      <w:r>
        <w:rPr>
          <w:b/>
          <w:bCs/>
          <w:sz w:val="19"/>
          <w:szCs w:val="19"/>
        </w:rPr>
        <w:t xml:space="preserve">Donner le cap et recueillir les attentes.</w:t>
      </w:r>
    </w:p>
    <w:p>
      <w:pPr>
        <w:spacing w:after="20"/>
      </w:pPr>
      <w:r>
        <w:rPr>
          <w:i/>
          <w:iCs/>
          <w:color w:val="5A5A5A"/>
          <w:sz w:val="18"/>
          <w:szCs w:val="18"/>
        </w:rPr>
        <w:t xml:space="preserve">À développer :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sz w:val="19"/>
          <w:szCs w:val="19"/>
        </w:rPr>
        <w:t xml:space="preserve">Lire les six objectifs ; demander à chacun ce qu’il vient chercher et noter au paperboard.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sz w:val="19"/>
          <w:szCs w:val="19"/>
        </w:rPr>
        <w:t xml:space="preserve">Préciser qu’à la fin, chacun doit pouvoir accompagner un·e collègue, pas seulement « comprendre ».</w:t>
      </w:r>
    </w:p>
    <w:p>
      <w:pPr>
        <w:pBdr>
          <w:bottom w:val="single" w:color="E6E6E6" w:sz="4" w:space="4"/>
        </w:pBdr>
        <w:spacing w:after="60"/>
      </w:pPr>
      <w:r>
        <w:t xml:space="preserve"/>
      </w:r>
    </w:p>
    <w:p>
      <w:pPr>
        <w:pStyle w:val="Heading3"/>
      </w:pPr>
      <w:r>
        <w:rPr>
          <w:color w:val="5A5A5A"/>
        </w:rPr>
        <w:t xml:space="preserve">Diapo 3 · </w:t>
      </w:r>
      <w:r>
        <w:t xml:space="preserve">Programme — 2 jours</w:t>
      </w:r>
    </w:p>
    <w:p>
      <w:pPr>
        <w:spacing w:after="60"/>
      </w:pPr>
      <w:r>
        <w:rPr>
          <w:b/>
          <w:bCs/>
          <w:color w:val="E2001A"/>
          <w:sz w:val="19"/>
          <w:szCs w:val="19"/>
        </w:rPr>
        <w:t xml:space="preserve">Message clé : </w:t>
      </w:r>
      <w:r>
        <w:rPr>
          <w:b/>
          <w:bCs/>
          <w:sz w:val="19"/>
          <w:szCs w:val="19"/>
        </w:rPr>
        <w:t xml:space="preserve">Montrer la logique : J1 = faire reconnaître, J2 = faire réparer et agir.</w:t>
      </w:r>
    </w:p>
    <w:p>
      <w:pPr>
        <w:spacing w:after="20"/>
      </w:pPr>
      <w:r>
        <w:rPr>
          <w:i/>
          <w:iCs/>
          <w:color w:val="5A5A5A"/>
          <w:sz w:val="18"/>
          <w:szCs w:val="18"/>
        </w:rPr>
        <w:t xml:space="preserve">À développer :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sz w:val="19"/>
          <w:szCs w:val="19"/>
        </w:rPr>
        <w:t xml:space="preserve">Jour 1 : du fait accidentel à la reconnaissance par la CPAM.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sz w:val="19"/>
          <w:szCs w:val="19"/>
        </w:rPr>
        <w:t xml:space="preserve">Jour 2 : l’indemnisation, la faute inexcusable, les recours, et le passage du cas individuel à la prévention collective.</w:t>
      </w:r>
    </w:p>
    <w:p>
      <w:pPr>
        <w:pBdr>
          <w:bottom w:val="single" w:color="E6E6E6" w:sz="4" w:space="4"/>
        </w:pBdr>
        <w:spacing w:after="60"/>
      </w:pPr>
      <w:r>
        <w:t xml:space="preserve"/>
      </w:r>
    </w:p>
    <w:p>
      <w:pPr>
        <w:pStyle w:val="Heading2"/>
      </w:pPr>
      <w:r>
        <w:t xml:space="preserve">JOUR 1 — Comprendre, déclarer, faire reconnaître</w:t>
      </w:r>
    </w:p>
    <w:p>
      <w:pPr>
        <w:pStyle w:val="Heading3"/>
      </w:pPr>
      <w:r>
        <w:rPr>
          <w:color w:val="5A5A5A"/>
        </w:rPr>
        <w:t xml:space="preserve">Diapo 4 · </w:t>
      </w:r>
      <w:r>
        <w:t xml:space="preserve">Intercalaire Jour 1</w:t>
      </w:r>
    </w:p>
    <w:p>
      <w:pPr>
        <w:spacing w:after="60"/>
      </w:pPr>
      <w:r>
        <w:rPr>
          <w:b/>
          <w:bCs/>
          <w:color w:val="E2001A"/>
          <w:sz w:val="19"/>
          <w:szCs w:val="19"/>
        </w:rPr>
        <w:t xml:space="preserve">Message clé : </w:t>
      </w:r>
      <w:r>
        <w:rPr>
          <w:b/>
          <w:bCs/>
          <w:sz w:val="19"/>
          <w:szCs w:val="19"/>
        </w:rPr>
        <w:t xml:space="preserve">Annoncer le fil de la journée.</w:t>
      </w:r>
    </w:p>
    <w:p>
      <w:pPr>
        <w:spacing w:after="20"/>
      </w:pPr>
      <w:r>
        <w:rPr>
          <w:i/>
          <w:iCs/>
          <w:color w:val="5A5A5A"/>
          <w:sz w:val="18"/>
          <w:szCs w:val="18"/>
        </w:rPr>
        <w:t xml:space="preserve">À développer :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sz w:val="19"/>
          <w:szCs w:val="19"/>
        </w:rPr>
        <w:t xml:space="preserve">Insister : tout commence par un bon réflexe de déclaration ; un dossier mal engagé se rattrape difficilement.</w:t>
      </w:r>
    </w:p>
    <w:p>
      <w:pPr>
        <w:pBdr>
          <w:bottom w:val="single" w:color="E6E6E6" w:sz="4" w:space="4"/>
        </w:pBdr>
        <w:spacing w:after="60"/>
      </w:pPr>
      <w:r>
        <w:t xml:space="preserve"/>
      </w:r>
    </w:p>
    <w:p>
      <w:pPr>
        <w:pStyle w:val="Heading3"/>
      </w:pPr>
      <w:r>
        <w:rPr>
          <w:color w:val="5A5A5A"/>
        </w:rPr>
        <w:t xml:space="preserve">Diapo 5 · </w:t>
      </w:r>
      <w:r>
        <w:t xml:space="preserve">Les AT/MP en France (chiffres)</w:t>
      </w:r>
    </w:p>
    <w:p>
      <w:pPr>
        <w:spacing w:after="60"/>
      </w:pPr>
      <w:r>
        <w:rPr>
          <w:b/>
          <w:bCs/>
          <w:color w:val="E2001A"/>
          <w:sz w:val="19"/>
          <w:szCs w:val="19"/>
        </w:rPr>
        <w:t xml:space="preserve">Message clé : </w:t>
      </w:r>
      <w:r>
        <w:rPr>
          <w:b/>
          <w:bCs/>
          <w:sz w:val="19"/>
          <w:szCs w:val="19"/>
        </w:rPr>
        <w:t xml:space="preserve">Mesurer l’ampleur — et l’ampleur de ce qu’on ne voit pas.</w:t>
      </w:r>
    </w:p>
    <w:p>
      <w:pPr>
        <w:spacing w:after="20"/>
      </w:pPr>
      <w:r>
        <w:rPr>
          <w:i/>
          <w:iCs/>
          <w:color w:val="5A5A5A"/>
          <w:sz w:val="18"/>
          <w:szCs w:val="18"/>
        </w:rPr>
        <w:t xml:space="preserve">À développer :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sz w:val="19"/>
          <w:szCs w:val="19"/>
        </w:rPr>
        <w:t xml:space="preserve">Commenter : près de la moitié des AT sont liés à des manutentions manuelles ; les chutes suivent.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sz w:val="19"/>
          <w:szCs w:val="19"/>
        </w:rPr>
        <w:t xml:space="preserve">Les décès au travail ne reculent pas ; les MP augmentent (TMS ~90 %, amiante, affections psychiques).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sz w:val="19"/>
          <w:szCs w:val="19"/>
        </w:rPr>
        <w:t xml:space="preserve">Rappeler la sous-déclaration : beaucoup d’AT bénins « passés en maladie », de MP jamais déclarées.</w:t>
      </w:r>
    </w:p>
    <w:p>
      <w:pPr>
        <w:spacing w:after="20" w:before="30"/>
      </w:pPr>
      <w:r>
        <w:rPr>
          <w:b/>
          <w:bCs/>
          <w:color w:val="5A5A5A"/>
          <w:sz w:val="16"/>
          <w:szCs w:val="16"/>
        </w:rPr>
        <w:t xml:space="preserve">Réf. </w:t>
      </w:r>
      <w:r>
        <w:rPr>
          <w:i/>
          <w:iCs/>
          <w:color w:val="5A5A5A"/>
          <w:sz w:val="16"/>
          <w:szCs w:val="16"/>
        </w:rPr>
        <w:t xml:space="preserve">Source : Assurance Maladie – Risques professionnels, données 2023 (à actualiser chaque année).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E2001A" w:sz="18"/>
              <w:bottom w:val="none" w:color="FFFFFF" w:sz="0"/>
              <w:right w:val="none" w:color="FFFFFF" w:sz="0"/>
            </w:tcBorders>
            <w:shd w:fill="FCE3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E2001A"/>
                <w:sz w:val="18"/>
                <w:szCs w:val="18"/>
              </w:rPr>
              <w:t xml:space="preserve">Angle CGT — </w:t>
            </w:r>
            <w:r>
              <w:rPr>
                <w:sz w:val="18"/>
                <w:szCs w:val="18"/>
              </w:rPr>
              <w:t xml:space="preserve">Derrière chaque chiffre, des conditions de travail. La sous-déclaration est un transfert de coûts vers la Sécu et les salariés : la combattre est syndical.</w:t>
            </w:r>
          </w:p>
        </w:tc>
      </w:tr>
    </w:tbl>
    <w:p>
      <w:pPr>
        <w:pBdr>
          <w:bottom w:val="single" w:color="E6E6E6" w:sz="4" w:space="4"/>
        </w:pBdr>
        <w:spacing w:after="60"/>
      </w:pPr>
      <w:r>
        <w:t xml:space="preserve"/>
      </w:r>
    </w:p>
    <w:p>
      <w:pPr>
        <w:pStyle w:val="Heading3"/>
      </w:pPr>
      <w:r>
        <w:rPr>
          <w:color w:val="5A5A5A"/>
        </w:rPr>
        <w:t xml:space="preserve">Diapo 6 · </w:t>
      </w:r>
      <w:r>
        <w:t xml:space="preserve">Un enjeu syndical majeur</w:t>
      </w:r>
    </w:p>
    <w:p>
      <w:pPr>
        <w:spacing w:after="60"/>
      </w:pPr>
      <w:r>
        <w:rPr>
          <w:b/>
          <w:bCs/>
          <w:color w:val="E2001A"/>
          <w:sz w:val="19"/>
          <w:szCs w:val="19"/>
        </w:rPr>
        <w:t xml:space="preserve">Message clé : </w:t>
      </w:r>
      <w:r>
        <w:rPr>
          <w:b/>
          <w:bCs/>
          <w:sz w:val="19"/>
          <w:szCs w:val="19"/>
        </w:rPr>
        <w:t xml:space="preserve">Dire pourquoi la CGT s’en empare.</w:t>
      </w:r>
    </w:p>
    <w:p>
      <w:pPr>
        <w:spacing w:after="20"/>
      </w:pPr>
      <w:r>
        <w:rPr>
          <w:i/>
          <w:iCs/>
          <w:color w:val="5A5A5A"/>
          <w:sz w:val="18"/>
          <w:szCs w:val="18"/>
        </w:rPr>
        <w:t xml:space="preserve">À développer :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sz w:val="19"/>
          <w:szCs w:val="19"/>
        </w:rPr>
        <w:t xml:space="preserve">La sous-déclaration prive les victimes de leurs droits (soins 100 %, IJ majorées, rente).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sz w:val="19"/>
          <w:szCs w:val="19"/>
        </w:rPr>
        <w:t xml:space="preserve">L’invisibilisation masque la réalité du travail et freine la prévention.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sz w:val="19"/>
          <w:szCs w:val="19"/>
        </w:rPr>
        <w:t xml:space="preserve">L’employeur a une obligation de sécurité : la faire respecter est un levier.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E2001A" w:sz="18"/>
              <w:bottom w:val="none" w:color="FFFFFF" w:sz="0"/>
              <w:right w:val="none" w:color="FFFFFF" w:sz="0"/>
            </w:tcBorders>
            <w:shd w:fill="FCE3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E2001A"/>
                <w:sz w:val="18"/>
                <w:szCs w:val="18"/>
              </w:rPr>
              <w:t xml:space="preserve">Angle CGT — </w:t>
            </w:r>
            <w:r>
              <w:rPr>
                <w:sz w:val="18"/>
                <w:szCs w:val="18"/>
              </w:rPr>
              <w:t xml:space="preserve">« La santé ne se négocie pas. » Faire reconnaître un AT/MP, c’est défendre une personne et rendre visible un risque collectif.</w:t>
            </w:r>
          </w:p>
        </w:tc>
      </w:tr>
    </w:tbl>
    <w:p>
      <w:pPr>
        <w:pBdr>
          <w:bottom w:val="single" w:color="E6E6E6" w:sz="4" w:space="4"/>
        </w:pBdr>
        <w:spacing w:after="60"/>
      </w:pPr>
      <w:r>
        <w:t xml:space="preserve"/>
      </w:r>
    </w:p>
    <w:p>
      <w:pPr>
        <w:pStyle w:val="Heading3"/>
      </w:pPr>
      <w:r>
        <w:rPr>
          <w:color w:val="5A5A5A"/>
        </w:rPr>
        <w:t xml:space="preserve">Diapo 7 · </w:t>
      </w:r>
      <w:r>
        <w:t xml:space="preserve">L’accident du travail (AT)</w:t>
      </w:r>
    </w:p>
    <w:p>
      <w:pPr>
        <w:spacing w:after="60"/>
      </w:pPr>
      <w:r>
        <w:rPr>
          <w:b/>
          <w:bCs/>
          <w:color w:val="E2001A"/>
          <w:sz w:val="19"/>
          <w:szCs w:val="19"/>
        </w:rPr>
        <w:t xml:space="preserve">Message clé : </w:t>
      </w:r>
      <w:r>
        <w:rPr>
          <w:b/>
          <w:bCs/>
          <w:sz w:val="19"/>
          <w:szCs w:val="19"/>
        </w:rPr>
        <w:t xml:space="preserve">Trois critères : un fait soudain, une lésion, un lien avec le travail.</w:t>
      </w:r>
    </w:p>
    <w:p>
      <w:pPr>
        <w:spacing w:after="20"/>
      </w:pPr>
      <w:r>
        <w:rPr>
          <w:i/>
          <w:iCs/>
          <w:color w:val="5A5A5A"/>
          <w:sz w:val="18"/>
          <w:szCs w:val="18"/>
        </w:rPr>
        <w:t xml:space="preserve">À développer :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sz w:val="19"/>
          <w:szCs w:val="19"/>
        </w:rPr>
        <w:t xml:space="preserve">Soudaineté : c’est ce qui distingue l’AT de la MP (exposition progressive).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sz w:val="19"/>
          <w:szCs w:val="19"/>
        </w:rPr>
        <w:t xml:space="preserve">La lésion peut être physique mais aussi psychique (choc, malaise, agression).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sz w:val="19"/>
          <w:szCs w:val="19"/>
        </w:rPr>
        <w:t xml:space="preserve">« Par le fait ou à l’occasion du travail » : la notion est large (pause, déplacement interne, mission).</w:t>
      </w:r>
    </w:p>
    <w:p>
      <w:pPr>
        <w:spacing w:after="20" w:before="30"/>
      </w:pPr>
      <w:r>
        <w:rPr>
          <w:b/>
          <w:bCs/>
          <w:color w:val="5A5A5A"/>
          <w:sz w:val="16"/>
          <w:szCs w:val="16"/>
        </w:rPr>
        <w:t xml:space="preserve">Réf. </w:t>
      </w:r>
      <w:r>
        <w:rPr>
          <w:i/>
          <w:iCs/>
          <w:color w:val="5A5A5A"/>
          <w:sz w:val="16"/>
          <w:szCs w:val="16"/>
        </w:rPr>
        <w:t xml:space="preserve">Art. L.411-1 du Code de la sécurité sociale (CSS).</w:t>
      </w:r>
    </w:p>
    <w:p>
      <w:pPr>
        <w:pBdr>
          <w:bottom w:val="single" w:color="E6E6E6" w:sz="4" w:space="4"/>
        </w:pBdr>
        <w:spacing w:after="60"/>
      </w:pPr>
      <w:r>
        <w:t xml:space="preserve"/>
      </w:r>
    </w:p>
    <w:p>
      <w:pPr>
        <w:pStyle w:val="Heading3"/>
      </w:pPr>
      <w:r>
        <w:rPr>
          <w:color w:val="5A5A5A"/>
        </w:rPr>
        <w:t xml:space="preserve">Diapo 8 · </w:t>
      </w:r>
      <w:r>
        <w:t xml:space="preserve">Les trois notions à distinguer</w:t>
      </w:r>
    </w:p>
    <w:p>
      <w:pPr>
        <w:spacing w:after="60"/>
      </w:pPr>
      <w:r>
        <w:rPr>
          <w:b/>
          <w:bCs/>
          <w:color w:val="E2001A"/>
          <w:sz w:val="19"/>
          <w:szCs w:val="19"/>
        </w:rPr>
        <w:t xml:space="preserve">Message clé : </w:t>
      </w:r>
      <w:r>
        <w:rPr>
          <w:b/>
          <w:bCs/>
          <w:sz w:val="19"/>
          <w:szCs w:val="19"/>
        </w:rPr>
        <w:t xml:space="preserve">AT, trajet et MP n’ouvrent pas les mêmes règles.</w:t>
      </w:r>
    </w:p>
    <w:p>
      <w:pPr>
        <w:spacing w:after="20"/>
      </w:pPr>
      <w:r>
        <w:rPr>
          <w:i/>
          <w:iCs/>
          <w:color w:val="5A5A5A"/>
          <w:sz w:val="18"/>
          <w:szCs w:val="18"/>
        </w:rPr>
        <w:t xml:space="preserve">À développer :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sz w:val="19"/>
          <w:szCs w:val="19"/>
        </w:rPr>
        <w:t xml:space="preserve">AT : fait soudain au travail.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sz w:val="19"/>
          <w:szCs w:val="19"/>
        </w:rPr>
        <w:t xml:space="preserve">Accident de trajet : protégé entre domicile et travail (ou lieu de restauration) ; détours admis (covoiturage, nécessités de la vie courante).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sz w:val="19"/>
          <w:szCs w:val="19"/>
        </w:rPr>
        <w:t xml:space="preserve">MP : exposition durable à un risque.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sz w:val="19"/>
          <w:szCs w:val="19"/>
        </w:rPr>
        <w:t xml:space="preserve">Piège classique : l’accident de mission relève de l’AT (et non du trajet).</w:t>
      </w:r>
    </w:p>
    <w:p>
      <w:pPr>
        <w:spacing w:after="20" w:before="30"/>
      </w:pPr>
      <w:r>
        <w:rPr>
          <w:b/>
          <w:bCs/>
          <w:color w:val="5A5A5A"/>
          <w:sz w:val="16"/>
          <w:szCs w:val="16"/>
        </w:rPr>
        <w:t xml:space="preserve">Réf. </w:t>
      </w:r>
      <w:r>
        <w:rPr>
          <w:i/>
          <w:iCs/>
          <w:color w:val="5A5A5A"/>
          <w:sz w:val="16"/>
          <w:szCs w:val="16"/>
        </w:rPr>
        <w:t xml:space="preserve">AT : L.411-1 ; trajet : L.411-2.</w:t>
      </w:r>
    </w:p>
    <w:p>
      <w:pPr>
        <w:pBdr>
          <w:bottom w:val="single" w:color="E6E6E6" w:sz="4" w:space="4"/>
        </w:pBdr>
        <w:spacing w:after="60"/>
      </w:pPr>
      <w:r>
        <w:t xml:space="preserve"/>
      </w:r>
    </w:p>
    <w:p>
      <w:pPr>
        <w:pStyle w:val="Heading3"/>
      </w:pPr>
      <w:r>
        <w:rPr>
          <w:color w:val="5A5A5A"/>
        </w:rPr>
        <w:t xml:space="preserve">Diapo 9 · </w:t>
      </w:r>
      <w:r>
        <w:t xml:space="preserve">La présomption d’imputabilité</w:t>
      </w:r>
    </w:p>
    <w:p>
      <w:pPr>
        <w:spacing w:after="60"/>
      </w:pPr>
      <w:r>
        <w:rPr>
          <w:b/>
          <w:bCs/>
          <w:color w:val="E2001A"/>
          <w:sz w:val="19"/>
          <w:szCs w:val="19"/>
        </w:rPr>
        <w:t xml:space="preserve">Message clé : </w:t>
      </w:r>
      <w:r>
        <w:rPr>
          <w:b/>
          <w:bCs/>
          <w:sz w:val="19"/>
          <w:szCs w:val="19"/>
        </w:rPr>
        <w:t xml:space="preserve">C’est l’atout maître : la charge de la preuve pèse sur l’employeur.</w:t>
      </w:r>
    </w:p>
    <w:p>
      <w:pPr>
        <w:spacing w:after="20"/>
      </w:pPr>
      <w:r>
        <w:rPr>
          <w:i/>
          <w:iCs/>
          <w:color w:val="5A5A5A"/>
          <w:sz w:val="18"/>
          <w:szCs w:val="18"/>
        </w:rPr>
        <w:t xml:space="preserve">À développer :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sz w:val="19"/>
          <w:szCs w:val="19"/>
        </w:rPr>
        <w:t xml:space="preserve">Un accident survenu au temps et au lieu de travail est présumé professionnel.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sz w:val="19"/>
          <w:szCs w:val="19"/>
        </w:rPr>
        <w:t xml:space="preserve">C’est à l’employeur de prouver une cause totalement étrangère au travail.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sz w:val="19"/>
          <w:szCs w:val="19"/>
        </w:rPr>
        <w:t xml:space="preserve">D’où l’importance de bien situer l’accident (heure, lieu, témoins) dès le départ.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E2001A" w:sz="18"/>
              <w:bottom w:val="none" w:color="FFFFFF" w:sz="0"/>
              <w:right w:val="none" w:color="FFFFFF" w:sz="0"/>
            </w:tcBorders>
            <w:shd w:fill="FCE3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E2001A"/>
                <w:sz w:val="18"/>
                <w:szCs w:val="18"/>
              </w:rPr>
              <w:t xml:space="preserve">Angle CGT — </w:t>
            </w:r>
            <w:r>
              <w:rPr>
                <w:sz w:val="18"/>
                <w:szCs w:val="18"/>
              </w:rPr>
              <w:t xml:space="preserve">Ne pas se laisser intimider par les « réserves » de l’employeur : la présomption protège le ou la salarié·e.</w:t>
            </w:r>
          </w:p>
        </w:tc>
      </w:tr>
    </w:tbl>
    <w:p>
      <w:pPr>
        <w:pBdr>
          <w:bottom w:val="single" w:color="E6E6E6" w:sz="4" w:space="4"/>
        </w:pBdr>
        <w:spacing w:after="60"/>
      </w:pPr>
      <w:r>
        <w:t xml:space="preserve"/>
      </w:r>
    </w:p>
    <w:p>
      <w:pPr>
        <w:pStyle w:val="Heading3"/>
      </w:pPr>
      <w:r>
        <w:rPr>
          <w:color w:val="5A5A5A"/>
        </w:rPr>
        <w:t xml:space="preserve">Diapo 10 · </w:t>
      </w:r>
      <w:r>
        <w:t xml:space="preserve">Intercalaire — Déclarer un AT</w:t>
      </w:r>
    </w:p>
    <w:p>
      <w:pPr>
        <w:spacing w:after="60"/>
      </w:pPr>
      <w:r>
        <w:rPr>
          <w:b/>
          <w:bCs/>
          <w:color w:val="E2001A"/>
          <w:sz w:val="19"/>
          <w:szCs w:val="19"/>
        </w:rPr>
        <w:t xml:space="preserve">Message clé : </w:t>
      </w:r>
      <w:r>
        <w:rPr>
          <w:b/>
          <w:bCs/>
          <w:sz w:val="19"/>
          <w:szCs w:val="19"/>
        </w:rPr>
        <w:t xml:space="preserve">Passer à la procédure : vite et dans les formes.</w:t>
      </w:r>
    </w:p>
    <w:p>
      <w:pPr>
        <w:spacing w:after="20"/>
      </w:pPr>
      <w:r>
        <w:rPr>
          <w:i/>
          <w:iCs/>
          <w:color w:val="5A5A5A"/>
          <w:sz w:val="18"/>
          <w:szCs w:val="18"/>
        </w:rPr>
        <w:t xml:space="preserve">À développer :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sz w:val="19"/>
          <w:szCs w:val="19"/>
        </w:rPr>
        <w:t xml:space="preserve">Annoncer que le bon réflexe dans les premières heures conditionne tout le dossier.</w:t>
      </w:r>
    </w:p>
    <w:p>
      <w:pPr>
        <w:pBdr>
          <w:bottom w:val="single" w:color="E6E6E6" w:sz="4" w:space="4"/>
        </w:pBdr>
        <w:spacing w:after="60"/>
      </w:pPr>
      <w:r>
        <w:t xml:space="preserve"/>
      </w:r>
    </w:p>
    <w:p>
      <w:pPr>
        <w:pStyle w:val="Heading3"/>
      </w:pPr>
      <w:r>
        <w:rPr>
          <w:color w:val="5A5A5A"/>
        </w:rPr>
        <w:t xml:space="preserve">Diapo 11 · </w:t>
      </w:r>
      <w:r>
        <w:t xml:space="preserve">Les délais à respecter</w:t>
      </w:r>
    </w:p>
    <w:p>
      <w:pPr>
        <w:spacing w:after="60"/>
      </w:pPr>
      <w:r>
        <w:rPr>
          <w:b/>
          <w:bCs/>
          <w:color w:val="E2001A"/>
          <w:sz w:val="19"/>
          <w:szCs w:val="19"/>
        </w:rPr>
        <w:t xml:space="preserve">Message clé : </w:t>
      </w:r>
      <w:r>
        <w:rPr>
          <w:b/>
          <w:bCs/>
          <w:sz w:val="19"/>
          <w:szCs w:val="19"/>
        </w:rPr>
        <w:t xml:space="preserve">24 h côté salarié, 48 h côté employeur.</w:t>
      </w:r>
    </w:p>
    <w:p>
      <w:pPr>
        <w:spacing w:after="20"/>
      </w:pPr>
      <w:r>
        <w:rPr>
          <w:i/>
          <w:iCs/>
          <w:color w:val="5A5A5A"/>
          <w:sz w:val="18"/>
          <w:szCs w:val="18"/>
        </w:rPr>
        <w:t xml:space="preserve">À développer :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sz w:val="19"/>
          <w:szCs w:val="19"/>
        </w:rPr>
        <w:t xml:space="preserve">Le salarié informe l’employeur dans les 24 h (idéalement par écrit, en gardant une preuve).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sz w:val="19"/>
          <w:szCs w:val="19"/>
        </w:rPr>
        <w:t xml:space="preserve">L’employeur déclare à la CPAM dans les 48 h (hors dimanches et jours fériés) : la DAT.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sz w:val="19"/>
          <w:szCs w:val="19"/>
        </w:rPr>
        <w:t xml:space="preserve">L’employeur peut joindre des « réserves motivées » : expliquer ce que c’est et comment y répondre.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sz w:val="19"/>
          <w:szCs w:val="19"/>
        </w:rPr>
        <w:t xml:space="preserve">La feuille d’accident est remise au salarié : soins pris en charge à 100 %, sans avance de frais.</w:t>
      </w:r>
    </w:p>
    <w:p>
      <w:pPr>
        <w:spacing w:after="20" w:before="30"/>
      </w:pPr>
      <w:r>
        <w:rPr>
          <w:b/>
          <w:bCs/>
          <w:color w:val="5A5A5A"/>
          <w:sz w:val="16"/>
          <w:szCs w:val="16"/>
        </w:rPr>
        <w:t xml:space="preserve">Réf. </w:t>
      </w:r>
      <w:r>
        <w:rPr>
          <w:i/>
          <w:iCs/>
          <w:color w:val="5A5A5A"/>
          <w:sz w:val="16"/>
          <w:szCs w:val="16"/>
        </w:rPr>
        <w:t xml:space="preserve">Art. R.441-2 (salarié), R.441-3 (employeur), L.441-5 (feuille d’accident).</w:t>
      </w:r>
    </w:p>
    <w:p>
      <w:pPr>
        <w:pBdr>
          <w:bottom w:val="single" w:color="E6E6E6" w:sz="4" w:space="4"/>
        </w:pBdr>
        <w:spacing w:after="60"/>
      </w:pPr>
      <w:r>
        <w:t xml:space="preserve"/>
      </w:r>
    </w:p>
    <w:p>
      <w:pPr>
        <w:pStyle w:val="Heading3"/>
      </w:pPr>
      <w:r>
        <w:rPr>
          <w:color w:val="5A5A5A"/>
        </w:rPr>
        <w:t xml:space="preserve">Diapo 12 · </w:t>
      </w:r>
      <w:r>
        <w:t xml:space="preserve">Les documents clés</w:t>
      </w:r>
    </w:p>
    <w:p>
      <w:pPr>
        <w:spacing w:after="60"/>
      </w:pPr>
      <w:r>
        <w:rPr>
          <w:b/>
          <w:bCs/>
          <w:color w:val="E2001A"/>
          <w:sz w:val="19"/>
          <w:szCs w:val="19"/>
        </w:rPr>
        <w:t xml:space="preserve">Message clé : </w:t>
      </w:r>
      <w:r>
        <w:rPr>
          <w:b/>
          <w:bCs/>
          <w:sz w:val="19"/>
          <w:szCs w:val="19"/>
        </w:rPr>
        <w:t xml:space="preserve">Le dossier se gagne sur les pièces.</w:t>
      </w:r>
    </w:p>
    <w:p>
      <w:pPr>
        <w:spacing w:after="20"/>
      </w:pPr>
      <w:r>
        <w:rPr>
          <w:i/>
          <w:iCs/>
          <w:color w:val="5A5A5A"/>
          <w:sz w:val="18"/>
          <w:szCs w:val="18"/>
        </w:rPr>
        <w:t xml:space="preserve">À développer :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sz w:val="19"/>
          <w:szCs w:val="19"/>
        </w:rPr>
        <w:t xml:space="preserve">La DAT (employeur) ; le certificat médical initial (CMI) établi par le médecin.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sz w:val="19"/>
          <w:szCs w:val="19"/>
        </w:rPr>
        <w:t xml:space="preserve">Sur le CMI : faire décrire TOUTES les lésions, même mineures — ce qui n’y figure pas sera difficile à rattacher ensuite.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sz w:val="19"/>
          <w:szCs w:val="19"/>
        </w:rPr>
        <w:t xml:space="preserve">La feuille d’accident (tiers payant) ; les certificats de prolongation puis le certificat final.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sz w:val="19"/>
          <w:szCs w:val="19"/>
        </w:rPr>
        <w:t xml:space="preserve">Depuis le 1er septembre 2025 : nouveaux Cerfa sécurisés obligatoires (les anciens sont rejetés).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E2001A" w:sz="18"/>
              <w:bottom w:val="none" w:color="FFFFFF" w:sz="0"/>
              <w:right w:val="none" w:color="FFFFFF" w:sz="0"/>
            </w:tcBorders>
            <w:shd w:fill="FCE3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E2001A"/>
                <w:sz w:val="18"/>
                <w:szCs w:val="18"/>
              </w:rPr>
              <w:t xml:space="preserve">Angle CGT — </w:t>
            </w:r>
            <w:r>
              <w:rPr>
                <w:sz w:val="18"/>
                <w:szCs w:val="18"/>
              </w:rPr>
              <w:t xml:space="preserve">Conseil : tout dater, tout conserver (copies). Un dossier, ça se constitue dès le premier jour.</w:t>
            </w:r>
          </w:p>
        </w:tc>
      </w:tr>
    </w:tbl>
    <w:p>
      <w:pPr>
        <w:pBdr>
          <w:bottom w:val="single" w:color="E6E6E6" w:sz="4" w:space="4"/>
        </w:pBdr>
        <w:spacing w:after="60"/>
      </w:pPr>
      <w:r>
        <w:t xml:space="preserve"/>
      </w:r>
    </w:p>
    <w:p>
      <w:pPr>
        <w:pStyle w:val="Heading3"/>
      </w:pPr>
      <w:r>
        <w:rPr>
          <w:color w:val="5A5A5A"/>
        </w:rPr>
        <w:t xml:space="preserve">Diapo 13 · </w:t>
      </w:r>
      <w:r>
        <w:t xml:space="preserve">Si l’employeur refuse de déclarer</w:t>
      </w:r>
    </w:p>
    <w:p>
      <w:pPr>
        <w:spacing w:after="60"/>
      </w:pPr>
      <w:r>
        <w:rPr>
          <w:b/>
          <w:bCs/>
          <w:color w:val="E2001A"/>
          <w:sz w:val="19"/>
          <w:szCs w:val="19"/>
        </w:rPr>
        <w:t xml:space="preserve">Message clé : </w:t>
      </w:r>
      <w:r>
        <w:rPr>
          <w:b/>
          <w:bCs/>
          <w:sz w:val="19"/>
          <w:szCs w:val="19"/>
        </w:rPr>
        <w:t xml:space="preserve">La défaillance de l’employeur ne fait pas perdre les droits.</w:t>
      </w:r>
    </w:p>
    <w:p>
      <w:pPr>
        <w:spacing w:after="20"/>
      </w:pPr>
      <w:r>
        <w:rPr>
          <w:i/>
          <w:iCs/>
          <w:color w:val="5A5A5A"/>
          <w:sz w:val="18"/>
          <w:szCs w:val="18"/>
        </w:rPr>
        <w:t xml:space="preserve">À développer :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sz w:val="19"/>
          <w:szCs w:val="19"/>
        </w:rPr>
        <w:t xml:space="preserve">Le salarié peut déclarer lui-même l’AT à la CPAM dans un délai de 2 ans.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sz w:val="19"/>
          <w:szCs w:val="19"/>
        </w:rPr>
        <w:t xml:space="preserve">Réunir témoignages, écrits, éventuelle main courante ; informer le CSE et, si besoin, l’inspection du travail.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E2001A" w:sz="18"/>
              <w:bottom w:val="none" w:color="FFFFFF" w:sz="0"/>
              <w:right w:val="none" w:color="FFFFFF" w:sz="0"/>
            </w:tcBorders>
            <w:shd w:fill="FCE3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E2001A"/>
                <w:sz w:val="18"/>
                <w:szCs w:val="18"/>
              </w:rPr>
              <w:t xml:space="preserve">Angle CGT — </w:t>
            </w:r>
            <w:r>
              <w:rPr>
                <w:sz w:val="18"/>
                <w:szCs w:val="18"/>
              </w:rPr>
              <w:t xml:space="preserve">Rôle de l’UD : ne jamais laisser un·e salarié·e seul·e face à un refus de déclaration.</w:t>
            </w:r>
          </w:p>
        </w:tc>
      </w:tr>
    </w:tbl>
    <w:p>
      <w:pPr>
        <w:pBdr>
          <w:bottom w:val="single" w:color="E6E6E6" w:sz="4" w:space="4"/>
        </w:pBdr>
        <w:spacing w:after="60"/>
      </w:pPr>
      <w:r>
        <w:t xml:space="preserve"/>
      </w:r>
    </w:p>
    <w:p>
      <w:pPr>
        <w:pStyle w:val="Heading3"/>
      </w:pPr>
      <w:r>
        <w:rPr>
          <w:color w:val="5A5A5A"/>
        </w:rPr>
        <w:t xml:space="preserve">Diapo 14 · </w:t>
      </w:r>
      <w:r>
        <w:t xml:space="preserve">L’instruction par la CPAM</w:t>
      </w:r>
    </w:p>
    <w:p>
      <w:pPr>
        <w:spacing w:after="60"/>
      </w:pPr>
      <w:r>
        <w:rPr>
          <w:b/>
          <w:bCs/>
          <w:color w:val="E2001A"/>
          <w:sz w:val="19"/>
          <w:szCs w:val="19"/>
        </w:rPr>
        <w:t xml:space="preserve">Message clé : </w:t>
      </w:r>
      <w:r>
        <w:rPr>
          <w:b/>
          <w:bCs/>
          <w:sz w:val="19"/>
          <w:szCs w:val="19"/>
        </w:rPr>
        <w:t xml:space="preserve">Des délais encadrés — à surveiller de près.</w:t>
      </w:r>
    </w:p>
    <w:p>
      <w:pPr>
        <w:spacing w:after="20"/>
      </w:pPr>
      <w:r>
        <w:rPr>
          <w:i/>
          <w:iCs/>
          <w:color w:val="5A5A5A"/>
          <w:sz w:val="18"/>
          <w:szCs w:val="18"/>
        </w:rPr>
        <w:t xml:space="preserve">À développer :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sz w:val="19"/>
          <w:szCs w:val="19"/>
        </w:rPr>
        <w:t xml:space="preserve">30 jours francs pour statuer dans le cas simple.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sz w:val="19"/>
          <w:szCs w:val="19"/>
        </w:rPr>
        <w:t xml:space="preserve">En cas de réserves ou d’investigation (questionnaire, enquête) : délai porté jusqu’à 90 jours.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sz w:val="19"/>
          <w:szCs w:val="19"/>
        </w:rPr>
        <w:t xml:space="preserve">Phase contradictoire : 10 jours pour consulter le dossier et faire des observations — à utiliser systématiquement.</w:t>
      </w:r>
    </w:p>
    <w:p>
      <w:pPr>
        <w:spacing w:after="20" w:before="30"/>
      </w:pPr>
      <w:r>
        <w:rPr>
          <w:b/>
          <w:bCs/>
          <w:color w:val="5A5A5A"/>
          <w:sz w:val="16"/>
          <w:szCs w:val="16"/>
        </w:rPr>
        <w:t xml:space="preserve">Réf. </w:t>
      </w:r>
      <w:r>
        <w:rPr>
          <w:i/>
          <w:iCs/>
          <w:color w:val="5A5A5A"/>
          <w:sz w:val="16"/>
          <w:szCs w:val="16"/>
        </w:rPr>
        <w:t xml:space="preserve">Art. R.441-7 et suivants.</w:t>
      </w:r>
    </w:p>
    <w:p>
      <w:pPr>
        <w:pBdr>
          <w:bottom w:val="single" w:color="E6E6E6" w:sz="4" w:space="4"/>
        </w:pBdr>
        <w:spacing w:after="60"/>
      </w:pPr>
      <w:r>
        <w:t xml:space="preserve"/>
      </w:r>
    </w:p>
    <w:p>
      <w:pPr>
        <w:pStyle w:val="Heading3"/>
      </w:pPr>
      <w:r>
        <w:rPr>
          <w:color w:val="5A5A5A"/>
        </w:rPr>
        <w:t xml:space="preserve">Diapo 15 · </w:t>
      </w:r>
      <w:r>
        <w:t xml:space="preserve">Silence vaut acceptation</w:t>
      </w:r>
    </w:p>
    <w:p>
      <w:pPr>
        <w:spacing w:after="60"/>
      </w:pPr>
      <w:r>
        <w:rPr>
          <w:b/>
          <w:bCs/>
          <w:color w:val="E2001A"/>
          <w:sz w:val="19"/>
          <w:szCs w:val="19"/>
        </w:rPr>
        <w:t xml:space="preserve">Message clé : </w:t>
      </w:r>
      <w:r>
        <w:rPr>
          <w:b/>
          <w:bCs/>
          <w:sz w:val="19"/>
          <w:szCs w:val="19"/>
        </w:rPr>
        <w:t xml:space="preserve">Le silence de la CPAM joue en faveur de la victime.</w:t>
      </w:r>
    </w:p>
    <w:p>
      <w:pPr>
        <w:spacing w:after="20"/>
      </w:pPr>
      <w:r>
        <w:rPr>
          <w:i/>
          <w:iCs/>
          <w:color w:val="5A5A5A"/>
          <w:sz w:val="18"/>
          <w:szCs w:val="18"/>
        </w:rPr>
        <w:t xml:space="preserve">À développer :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sz w:val="19"/>
          <w:szCs w:val="19"/>
        </w:rPr>
        <w:t xml:space="preserve">Sans décision dans le délai, le caractère professionnel est reconnu.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sz w:val="19"/>
          <w:szCs w:val="19"/>
        </w:rPr>
        <w:t xml:space="preserve">Noter précisément les dates ; ne pas « relancer » au point de provoquer une décision de rejet hâtive.</w:t>
      </w:r>
    </w:p>
    <w:p>
      <w:pPr>
        <w:spacing w:after="20" w:before="30"/>
      </w:pPr>
      <w:r>
        <w:rPr>
          <w:b/>
          <w:bCs/>
          <w:color w:val="5A5A5A"/>
          <w:sz w:val="16"/>
          <w:szCs w:val="16"/>
        </w:rPr>
        <w:t xml:space="preserve">Réf. </w:t>
      </w:r>
      <w:r>
        <w:rPr>
          <w:i/>
          <w:iCs/>
          <w:color w:val="5A5A5A"/>
          <w:sz w:val="16"/>
          <w:szCs w:val="16"/>
        </w:rPr>
        <w:t xml:space="preserve">Art. R.441-10.</w:t>
      </w:r>
    </w:p>
    <w:p>
      <w:pPr>
        <w:pBdr>
          <w:bottom w:val="single" w:color="E6E6E6" w:sz="4" w:space="4"/>
        </w:pBdr>
        <w:spacing w:after="60"/>
      </w:pPr>
      <w:r>
        <w:t xml:space="preserve"/>
      </w:r>
    </w:p>
    <w:p>
      <w:pPr>
        <w:pStyle w:val="Heading3"/>
      </w:pPr>
      <w:r>
        <w:rPr>
          <w:color w:val="5A5A5A"/>
        </w:rPr>
        <w:t xml:space="preserve">Diapo 16 · </w:t>
      </w:r>
      <w:r>
        <w:t xml:space="preserve">Intercalaire — Les maladies professionnelles</w:t>
      </w:r>
    </w:p>
    <w:p>
      <w:pPr>
        <w:spacing w:after="60"/>
      </w:pPr>
      <w:r>
        <w:rPr>
          <w:b/>
          <w:bCs/>
          <w:color w:val="E2001A"/>
          <w:sz w:val="19"/>
          <w:szCs w:val="19"/>
        </w:rPr>
        <w:t xml:space="preserve">Message clé : </w:t>
      </w:r>
      <w:r>
        <w:rPr>
          <w:b/>
          <w:bCs/>
          <w:sz w:val="19"/>
          <w:szCs w:val="19"/>
        </w:rPr>
        <w:t xml:space="preserve">Changer de logique : la MP est progressive.</w:t>
      </w:r>
    </w:p>
    <w:p>
      <w:pPr>
        <w:spacing w:after="20"/>
      </w:pPr>
      <w:r>
        <w:rPr>
          <w:i/>
          <w:iCs/>
          <w:color w:val="5A5A5A"/>
          <w:sz w:val="18"/>
          <w:szCs w:val="18"/>
        </w:rPr>
        <w:t xml:space="preserve">À développer :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sz w:val="19"/>
          <w:szCs w:val="19"/>
        </w:rPr>
        <w:t xml:space="preserve">Annoncer les deux voies de reconnaissance et leur enjeu de preuve.</w:t>
      </w:r>
    </w:p>
    <w:p>
      <w:pPr>
        <w:pBdr>
          <w:bottom w:val="single" w:color="E6E6E6" w:sz="4" w:space="4"/>
        </w:pBdr>
        <w:spacing w:after="60"/>
      </w:pPr>
      <w:r>
        <w:t xml:space="preserve"/>
      </w:r>
    </w:p>
    <w:p>
      <w:pPr>
        <w:pStyle w:val="Heading3"/>
      </w:pPr>
      <w:r>
        <w:rPr>
          <w:color w:val="5A5A5A"/>
        </w:rPr>
        <w:t xml:space="preserve">Diapo 17 · </w:t>
      </w:r>
      <w:r>
        <w:t xml:space="preserve">Deux voies de reconnaissance</w:t>
      </w:r>
    </w:p>
    <w:p>
      <w:pPr>
        <w:spacing w:after="60"/>
      </w:pPr>
      <w:r>
        <w:rPr>
          <w:b/>
          <w:bCs/>
          <w:color w:val="E2001A"/>
          <w:sz w:val="19"/>
          <w:szCs w:val="19"/>
        </w:rPr>
        <w:t xml:space="preserve">Message clé : </w:t>
      </w:r>
      <w:r>
        <w:rPr>
          <w:b/>
          <w:bCs/>
          <w:sz w:val="19"/>
          <w:szCs w:val="19"/>
        </w:rPr>
        <w:t xml:space="preserve">Tableau (présomption) ou CRRMP (preuve du lien).</w:t>
      </w:r>
    </w:p>
    <w:p>
      <w:pPr>
        <w:spacing w:after="20"/>
      </w:pPr>
      <w:r>
        <w:rPr>
          <w:i/>
          <w:iCs/>
          <w:color w:val="5A5A5A"/>
          <w:sz w:val="18"/>
          <w:szCs w:val="18"/>
        </w:rPr>
        <w:t xml:space="preserve">À développer :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sz w:val="19"/>
          <w:szCs w:val="19"/>
        </w:rPr>
        <w:t xml:space="preserve">Voie tableau : si toutes les conditions sont réunies → présomption d’origine, pas besoin de prouver le lien.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sz w:val="19"/>
          <w:szCs w:val="19"/>
        </w:rPr>
        <w:t xml:space="preserve">Voie CRRMP : maladie en tableau mais conditions non toutes remplies (lien direct), OU maladie hors tableau (lien direct et essentiel + IPP ≥ 25 % ou décès).</w:t>
      </w:r>
    </w:p>
    <w:p>
      <w:pPr>
        <w:spacing w:after="20" w:before="30"/>
      </w:pPr>
      <w:r>
        <w:rPr>
          <w:b/>
          <w:bCs/>
          <w:color w:val="5A5A5A"/>
          <w:sz w:val="16"/>
          <w:szCs w:val="16"/>
        </w:rPr>
        <w:t xml:space="preserve">Réf. </w:t>
      </w:r>
      <w:r>
        <w:rPr>
          <w:i/>
          <w:iCs/>
          <w:color w:val="5A5A5A"/>
          <w:sz w:val="16"/>
          <w:szCs w:val="16"/>
        </w:rPr>
        <w:t xml:space="preserve">Art. L.461-1 CSS (alinéas relatifs au système complémentaire / CRRMP).</w:t>
      </w:r>
    </w:p>
    <w:p>
      <w:pPr>
        <w:pBdr>
          <w:bottom w:val="single" w:color="E6E6E6" w:sz="4" w:space="4"/>
        </w:pBdr>
        <w:spacing w:after="60"/>
      </w:pPr>
      <w:r>
        <w:t xml:space="preserve"/>
      </w:r>
    </w:p>
    <w:p>
      <w:pPr>
        <w:pStyle w:val="Heading3"/>
      </w:pPr>
      <w:r>
        <w:rPr>
          <w:color w:val="5A5A5A"/>
        </w:rPr>
        <w:t xml:space="preserve">Diapo 18 · </w:t>
      </w:r>
      <w:r>
        <w:t xml:space="preserve">Le système des tableaux</w:t>
      </w:r>
    </w:p>
    <w:p>
      <w:pPr>
        <w:spacing w:after="60"/>
      </w:pPr>
      <w:r>
        <w:rPr>
          <w:b/>
          <w:bCs/>
          <w:color w:val="E2001A"/>
          <w:sz w:val="19"/>
          <w:szCs w:val="19"/>
        </w:rPr>
        <w:t xml:space="preserve">Message clé : </w:t>
      </w:r>
      <w:r>
        <w:rPr>
          <w:b/>
          <w:bCs/>
          <w:sz w:val="19"/>
          <w:szCs w:val="19"/>
        </w:rPr>
        <w:t xml:space="preserve">Savoir lire un tableau de MP.</w:t>
      </w:r>
    </w:p>
    <w:p>
      <w:pPr>
        <w:spacing w:after="20"/>
      </w:pPr>
      <w:r>
        <w:rPr>
          <w:i/>
          <w:iCs/>
          <w:color w:val="5A5A5A"/>
          <w:sz w:val="18"/>
          <w:szCs w:val="18"/>
        </w:rPr>
        <w:t xml:space="preserve">À développer :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sz w:val="19"/>
          <w:szCs w:val="19"/>
        </w:rPr>
        <w:t xml:space="preserve">Trois éléments : désignation de la maladie ; délai de prise en charge après exposition ; liste de travaux (limitative ou indicative).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sz w:val="19"/>
          <w:szCs w:val="19"/>
        </w:rPr>
        <w:t xml:space="preserve">Bien repérer les dates d’exposition et l’employeur concerné.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sz w:val="19"/>
          <w:szCs w:val="19"/>
        </w:rPr>
        <w:t xml:space="preserve">Où les trouver : INRS et Légifrance (mis à jour régulièrement).</w:t>
      </w:r>
    </w:p>
    <w:p>
      <w:pPr>
        <w:pBdr>
          <w:bottom w:val="single" w:color="E6E6E6" w:sz="4" w:space="4"/>
        </w:pBdr>
        <w:spacing w:after="60"/>
      </w:pPr>
      <w:r>
        <w:t xml:space="preserve"/>
      </w:r>
    </w:p>
    <w:p>
      <w:pPr>
        <w:pStyle w:val="Heading3"/>
      </w:pPr>
      <w:r>
        <w:rPr>
          <w:color w:val="5A5A5A"/>
        </w:rPr>
        <w:t xml:space="preserve">Diapo 19 · </w:t>
      </w:r>
      <w:r>
        <w:t xml:space="preserve">Les enjeux actuels</w:t>
      </w:r>
    </w:p>
    <w:p>
      <w:pPr>
        <w:spacing w:after="60"/>
      </w:pPr>
      <w:r>
        <w:rPr>
          <w:b/>
          <w:bCs/>
          <w:color w:val="E2001A"/>
          <w:sz w:val="19"/>
          <w:szCs w:val="19"/>
        </w:rPr>
        <w:t xml:space="preserve">Message clé : </w:t>
      </w:r>
      <w:r>
        <w:rPr>
          <w:b/>
          <w:bCs/>
          <w:sz w:val="19"/>
          <w:szCs w:val="19"/>
        </w:rPr>
        <w:t xml:space="preserve">Les MP d’aujourd’hui sont surtout des TMS et des atteintes invisibles.</w:t>
      </w:r>
    </w:p>
    <w:p>
      <w:pPr>
        <w:spacing w:after="20"/>
      </w:pPr>
      <w:r>
        <w:rPr>
          <w:i/>
          <w:iCs/>
          <w:color w:val="5A5A5A"/>
          <w:sz w:val="18"/>
          <w:szCs w:val="18"/>
        </w:rPr>
        <w:t xml:space="preserve">À développer :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sz w:val="19"/>
          <w:szCs w:val="19"/>
        </w:rPr>
        <w:t xml:space="preserve">TMS : près de 90 % des MP reconnues ; amiante toujours présente.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sz w:val="19"/>
          <w:szCs w:val="19"/>
        </w:rPr>
        <w:t xml:space="preserve">Affections psychiques (burn-out) : souvent hors tableau → passage par le CRRMP.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sz w:val="19"/>
          <w:szCs w:val="19"/>
        </w:rPr>
        <w:t xml:space="preserve">Usure professionnelle, expositions chimiques : forte sous-déclaration.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E2001A" w:sz="18"/>
              <w:bottom w:val="none" w:color="FFFFFF" w:sz="0"/>
              <w:right w:val="none" w:color="FFFFFF" w:sz="0"/>
            </w:tcBorders>
            <w:shd w:fill="FCE3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E2001A"/>
                <w:sz w:val="18"/>
                <w:szCs w:val="18"/>
              </w:rPr>
              <w:t xml:space="preserve">Angle CGT — </w:t>
            </w:r>
            <w:r>
              <w:rPr>
                <w:sz w:val="18"/>
                <w:szCs w:val="18"/>
              </w:rPr>
              <w:t xml:space="preserve">Faire reconnaître, c’est rendre visible pour pouvoir prévenir et revendiquer.</w:t>
            </w:r>
          </w:p>
        </w:tc>
      </w:tr>
    </w:tbl>
    <w:p>
      <w:pPr>
        <w:pBdr>
          <w:bottom w:val="single" w:color="E6E6E6" w:sz="4" w:space="4"/>
        </w:pBdr>
        <w:spacing w:after="60"/>
      </w:pPr>
      <w:r>
        <w:t xml:space="preserve"/>
      </w:r>
    </w:p>
    <w:p>
      <w:pPr>
        <w:pStyle w:val="Heading3"/>
      </w:pPr>
      <w:r>
        <w:rPr>
          <w:color w:val="5A5A5A"/>
        </w:rPr>
        <w:t xml:space="preserve">Diapo 20 · </w:t>
      </w:r>
      <w:r>
        <w:t xml:space="preserve">Mise en situation — « Le premier réflexe »</w:t>
      </w:r>
    </w:p>
    <w:p>
      <w:pPr>
        <w:spacing w:after="60"/>
      </w:pPr>
      <w:r>
        <w:rPr>
          <w:b/>
          <w:bCs/>
          <w:color w:val="E2001A"/>
          <w:sz w:val="19"/>
          <w:szCs w:val="19"/>
        </w:rPr>
        <w:t xml:space="preserve">Message clé : </w:t>
      </w:r>
      <w:r>
        <w:rPr>
          <w:b/>
          <w:bCs/>
          <w:sz w:val="19"/>
          <w:szCs w:val="19"/>
        </w:rPr>
        <w:t xml:space="preserve">Faire appliquer les acquis (cas Karim).</w:t>
      </w:r>
    </w:p>
    <w:p>
      <w:pPr>
        <w:spacing w:after="20"/>
      </w:pPr>
      <w:r>
        <w:rPr>
          <w:i/>
          <w:iCs/>
          <w:color w:val="5A5A5A"/>
          <w:sz w:val="18"/>
          <w:szCs w:val="18"/>
        </w:rPr>
        <w:t xml:space="preserve">À développer :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sz w:val="19"/>
          <w:szCs w:val="19"/>
        </w:rPr>
        <w:t xml:space="preserve">Animation en binômes (15 min) puis restitution.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sz w:val="19"/>
          <w:szCs w:val="19"/>
        </w:rPr>
        <w:t xml:space="preserve">Corrigé attendu : information employeur 24 h, CMI détaillé, feuille d’accident, déclaration directe si refus, alerte du CSE et de l’UD.</w:t>
      </w:r>
    </w:p>
    <w:p>
      <w:pPr>
        <w:pBdr>
          <w:bottom w:val="single" w:color="E6E6E6" w:sz="4" w:space="4"/>
        </w:pBdr>
        <w:spacing w:after="60"/>
      </w:pPr>
      <w:r>
        <w:t xml:space="preserve"/>
      </w:r>
    </w:p>
    <w:p>
      <w:pPr>
        <w:pStyle w:val="Heading3"/>
      </w:pPr>
      <w:r>
        <w:rPr>
          <w:color w:val="5A5A5A"/>
        </w:rPr>
        <w:t xml:space="preserve">Diapo 21 · </w:t>
      </w:r>
      <w:r>
        <w:t xml:space="preserve">Bilan du jour 1</w:t>
      </w:r>
    </w:p>
    <w:p>
      <w:pPr>
        <w:spacing w:after="60"/>
      </w:pPr>
      <w:r>
        <w:rPr>
          <w:b/>
          <w:bCs/>
          <w:color w:val="E2001A"/>
          <w:sz w:val="19"/>
          <w:szCs w:val="19"/>
        </w:rPr>
        <w:t xml:space="preserve">Message clé : </w:t>
      </w:r>
      <w:r>
        <w:rPr>
          <w:b/>
          <w:bCs/>
          <w:sz w:val="19"/>
          <w:szCs w:val="19"/>
        </w:rPr>
        <w:t xml:space="preserve">Consolider et préparer le jour 2.</w:t>
      </w:r>
    </w:p>
    <w:p>
      <w:pPr>
        <w:spacing w:after="20"/>
      </w:pPr>
      <w:r>
        <w:rPr>
          <w:i/>
          <w:iCs/>
          <w:color w:val="5A5A5A"/>
          <w:sz w:val="18"/>
          <w:szCs w:val="18"/>
        </w:rPr>
        <w:t xml:space="preserve">À développer :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sz w:val="19"/>
          <w:szCs w:val="19"/>
        </w:rPr>
        <w:t xml:space="preserve">Tour de table : ce que je retiens, ce que je réutiliserai.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sz w:val="19"/>
          <w:szCs w:val="19"/>
        </w:rPr>
        <w:t xml:space="preserve">Recueillir les questions en suspens.</w:t>
      </w:r>
    </w:p>
    <w:p>
      <w:pPr>
        <w:pBdr>
          <w:bottom w:val="single" w:color="E6E6E6" w:sz="4" w:space="4"/>
        </w:pBdr>
        <w:spacing w:after="60"/>
      </w:pPr>
      <w:r>
        <w:t xml:space="preserve"/>
      </w:r>
    </w:p>
    <w:p>
      <w:pPr>
        <w:pStyle w:val="Heading2"/>
      </w:pPr>
      <w:r>
        <w:t xml:space="preserve">JOUR 2 — Indemnisation, séquelles &amp; action syndicale</w:t>
      </w:r>
    </w:p>
    <w:p>
      <w:pPr>
        <w:pStyle w:val="Heading3"/>
      </w:pPr>
      <w:r>
        <w:rPr>
          <w:color w:val="5A5A5A"/>
        </w:rPr>
        <w:t xml:space="preserve">Diapo 22 · </w:t>
      </w:r>
      <w:r>
        <w:t xml:space="preserve">Intercalaire Jour 2</w:t>
      </w:r>
    </w:p>
    <w:p>
      <w:pPr>
        <w:spacing w:after="60"/>
      </w:pPr>
      <w:r>
        <w:rPr>
          <w:b/>
          <w:bCs/>
          <w:color w:val="E2001A"/>
          <w:sz w:val="19"/>
          <w:szCs w:val="19"/>
        </w:rPr>
        <w:t xml:space="preserve">Message clé : </w:t>
      </w:r>
      <w:r>
        <w:rPr>
          <w:b/>
          <w:bCs/>
          <w:sz w:val="19"/>
          <w:szCs w:val="19"/>
        </w:rPr>
        <w:t xml:space="preserve">Annoncer : après la reconnaissance, la réparation et l’action.</w:t>
      </w:r>
    </w:p>
    <w:p>
      <w:pPr>
        <w:spacing w:after="20"/>
      </w:pPr>
      <w:r>
        <w:rPr>
          <w:i/>
          <w:iCs/>
          <w:color w:val="5A5A5A"/>
          <w:sz w:val="18"/>
          <w:szCs w:val="18"/>
        </w:rPr>
        <w:t xml:space="preserve">À développer :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sz w:val="19"/>
          <w:szCs w:val="19"/>
        </w:rPr>
        <w:t xml:space="preserve">Rappeler le fil : indemnisation → séquelles → faute inexcusable → recours → rôle collectif.</w:t>
      </w:r>
    </w:p>
    <w:p>
      <w:pPr>
        <w:pBdr>
          <w:bottom w:val="single" w:color="E6E6E6" w:sz="4" w:space="4"/>
        </w:pBdr>
        <w:spacing w:after="60"/>
      </w:pPr>
      <w:r>
        <w:t xml:space="preserve"/>
      </w:r>
    </w:p>
    <w:p>
      <w:pPr>
        <w:pStyle w:val="Heading3"/>
      </w:pPr>
      <w:r>
        <w:rPr>
          <w:color w:val="5A5A5A"/>
        </w:rPr>
        <w:t xml:space="preserve">Diapo 23 · </w:t>
      </w:r>
      <w:r>
        <w:t xml:space="preserve">Le parcours d’indemnisation</w:t>
      </w:r>
    </w:p>
    <w:p>
      <w:pPr>
        <w:spacing w:after="60"/>
      </w:pPr>
      <w:r>
        <w:rPr>
          <w:b/>
          <w:bCs/>
          <w:color w:val="E2001A"/>
          <w:sz w:val="19"/>
          <w:szCs w:val="19"/>
        </w:rPr>
        <w:t xml:space="preserve">Message clé : </w:t>
      </w:r>
      <w:r>
        <w:rPr>
          <w:b/>
          <w:bCs/>
          <w:sz w:val="19"/>
          <w:szCs w:val="19"/>
        </w:rPr>
        <w:t xml:space="preserve">Les droits sont plus favorables qu’en maladie « simple ».</w:t>
      </w:r>
    </w:p>
    <w:p>
      <w:pPr>
        <w:spacing w:after="20"/>
      </w:pPr>
      <w:r>
        <w:rPr>
          <w:i/>
          <w:iCs/>
          <w:color w:val="5A5A5A"/>
          <w:sz w:val="18"/>
          <w:szCs w:val="18"/>
        </w:rPr>
        <w:t xml:space="preserve">À développer :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sz w:val="19"/>
          <w:szCs w:val="19"/>
        </w:rPr>
        <w:t xml:space="preserve">IJ majorées : 60 % du salaire journalier de base, puis 80 % à partir du 29e jour d’arrêt.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sz w:val="19"/>
          <w:szCs w:val="19"/>
        </w:rPr>
        <w:t xml:space="preserve">Soins pris en charge à 100 % du tarif Sécu ; le jour de l’accident est payé par l’employeur.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sz w:val="19"/>
          <w:szCs w:val="19"/>
        </w:rPr>
        <w:t xml:space="preserve">La situation évolue vers la guérison ou la consolidation.</w:t>
      </w:r>
    </w:p>
    <w:p>
      <w:pPr>
        <w:spacing w:after="20" w:before="30"/>
      </w:pPr>
      <w:r>
        <w:rPr>
          <w:b/>
          <w:bCs/>
          <w:color w:val="5A5A5A"/>
          <w:sz w:val="16"/>
          <w:szCs w:val="16"/>
        </w:rPr>
        <w:t xml:space="preserve">Réf. </w:t>
      </w:r>
      <w:r>
        <w:rPr>
          <w:i/>
          <w:iCs/>
          <w:color w:val="5A5A5A"/>
          <w:sz w:val="16"/>
          <w:szCs w:val="16"/>
        </w:rPr>
        <w:t xml:space="preserve">Régime AT/MP des indemnités journalières (taux à vérifier au moment de la session).</w:t>
      </w:r>
    </w:p>
    <w:p>
      <w:pPr>
        <w:pBdr>
          <w:bottom w:val="single" w:color="E6E6E6" w:sz="4" w:space="4"/>
        </w:pBdr>
        <w:spacing w:after="60"/>
      </w:pPr>
      <w:r>
        <w:t xml:space="preserve"/>
      </w:r>
    </w:p>
    <w:p>
      <w:pPr>
        <w:pStyle w:val="Heading3"/>
      </w:pPr>
      <w:r>
        <w:rPr>
          <w:color w:val="5A5A5A"/>
        </w:rPr>
        <w:t xml:space="preserve">Diapo 24 · </w:t>
      </w:r>
      <w:r>
        <w:t xml:space="preserve">Guérison ou consolidation ?</w:t>
      </w:r>
    </w:p>
    <w:p>
      <w:pPr>
        <w:spacing w:after="60"/>
      </w:pPr>
      <w:r>
        <w:rPr>
          <w:b/>
          <w:bCs/>
          <w:color w:val="E2001A"/>
          <w:sz w:val="19"/>
          <w:szCs w:val="19"/>
        </w:rPr>
        <w:t xml:space="preserve">Message clé : </w:t>
      </w:r>
      <w:r>
        <w:rPr>
          <w:b/>
          <w:bCs/>
          <w:sz w:val="19"/>
          <w:szCs w:val="19"/>
        </w:rPr>
        <w:t xml:space="preserve">Notion charnière qui ouvre l’indemnisation des séquelles.</w:t>
      </w:r>
    </w:p>
    <w:p>
      <w:pPr>
        <w:spacing w:after="20"/>
      </w:pPr>
      <w:r>
        <w:rPr>
          <w:i/>
          <w:iCs/>
          <w:color w:val="5A5A5A"/>
          <w:sz w:val="18"/>
          <w:szCs w:val="18"/>
        </w:rPr>
        <w:t xml:space="preserve">À développer :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sz w:val="19"/>
          <w:szCs w:val="19"/>
        </w:rPr>
        <w:t xml:space="preserve">Guérison : retour à l’état antérieur, sans séquelle.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sz w:val="19"/>
          <w:szCs w:val="19"/>
        </w:rPr>
        <w:t xml:space="preserve">Consolidation : état stabilisé avec séquelles → c’est là qu’on évalue le taux d’IPP.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sz w:val="19"/>
          <w:szCs w:val="19"/>
        </w:rPr>
        <w:t xml:space="preserve">Après consolidation, une rechute ou une aggravation reste possible (nouveau certificat).</w:t>
      </w:r>
    </w:p>
    <w:p>
      <w:pPr>
        <w:pBdr>
          <w:bottom w:val="single" w:color="E6E6E6" w:sz="4" w:space="4"/>
        </w:pBdr>
        <w:spacing w:after="60"/>
      </w:pPr>
      <w:r>
        <w:t xml:space="preserve"/>
      </w:r>
    </w:p>
    <w:p>
      <w:pPr>
        <w:pStyle w:val="Heading3"/>
      </w:pPr>
      <w:r>
        <w:rPr>
          <w:color w:val="5A5A5A"/>
        </w:rPr>
        <w:t xml:space="preserve">Diapo 25 · </w:t>
      </w:r>
      <w:r>
        <w:t xml:space="preserve">Indemnisation des séquelles</w:t>
      </w:r>
    </w:p>
    <w:p>
      <w:pPr>
        <w:spacing w:after="60"/>
      </w:pPr>
      <w:r>
        <w:rPr>
          <w:b/>
          <w:bCs/>
          <w:color w:val="E2001A"/>
          <w:sz w:val="19"/>
          <w:szCs w:val="19"/>
        </w:rPr>
        <w:t xml:space="preserve">Message clé : </w:t>
      </w:r>
      <w:r>
        <w:rPr>
          <w:b/>
          <w:bCs/>
          <w:sz w:val="19"/>
          <w:szCs w:val="19"/>
        </w:rPr>
        <w:t xml:space="preserve">Le seuil de 10 % d’IPP commande tout.</w:t>
      </w:r>
    </w:p>
    <w:p>
      <w:pPr>
        <w:spacing w:after="20"/>
      </w:pPr>
      <w:r>
        <w:rPr>
          <w:i/>
          <w:iCs/>
          <w:color w:val="5A5A5A"/>
          <w:sz w:val="18"/>
          <w:szCs w:val="18"/>
        </w:rPr>
        <w:t xml:space="preserve">À développer :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sz w:val="19"/>
          <w:szCs w:val="19"/>
        </w:rPr>
        <w:t xml:space="preserve">Taux d’IPP &lt; 10 % : indemnité en capital (versée en une fois).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sz w:val="19"/>
          <w:szCs w:val="19"/>
        </w:rPr>
        <w:t xml:space="preserve">Taux ≥ 10 % : rente viagère, calculée sur le salaire annuel de référence × « taux utile » (taux diminué de moitié de 10 à 50 %, augmenté de moitié au-delà).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sz w:val="19"/>
          <w:szCs w:val="19"/>
        </w:rPr>
        <w:t xml:space="preserve">Le taux est fixé par le médecin-conseil selon un barème indicatif.</w:t>
      </w:r>
    </w:p>
    <w:p>
      <w:pPr>
        <w:spacing w:after="20" w:before="30"/>
      </w:pPr>
      <w:r>
        <w:rPr>
          <w:b/>
          <w:bCs/>
          <w:color w:val="5A5A5A"/>
          <w:sz w:val="16"/>
          <w:szCs w:val="16"/>
        </w:rPr>
        <w:t xml:space="preserve">Réf. </w:t>
      </w:r>
      <w:r>
        <w:rPr>
          <w:i/>
          <w:iCs/>
          <w:color w:val="5A5A5A"/>
          <w:sz w:val="16"/>
          <w:szCs w:val="16"/>
        </w:rPr>
        <w:t xml:space="preserve">Salaire annuel de référence encadré par un plancher et un plafond (montants à actualiser).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E2001A" w:sz="18"/>
              <w:bottom w:val="none" w:color="FFFFFF" w:sz="0"/>
              <w:right w:val="none" w:color="FFFFFF" w:sz="0"/>
            </w:tcBorders>
            <w:shd w:fill="FCE3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E2001A"/>
                <w:sz w:val="18"/>
                <w:szCs w:val="18"/>
              </w:rPr>
              <w:t xml:space="preserve">Angle CGT — </w:t>
            </w:r>
            <w:r>
              <w:rPr>
                <w:sz w:val="18"/>
                <w:szCs w:val="18"/>
              </w:rPr>
              <w:t xml:space="preserve">Vérifier systématiquement le taux : un taux sous-évalué, ça se conteste (voir diapo « contester »).</w:t>
            </w:r>
          </w:p>
        </w:tc>
      </w:tr>
    </w:tbl>
    <w:p>
      <w:pPr>
        <w:pBdr>
          <w:bottom w:val="single" w:color="E6E6E6" w:sz="4" w:space="4"/>
        </w:pBdr>
        <w:spacing w:after="60"/>
      </w:pPr>
      <w:r>
        <w:t xml:space="preserve"/>
      </w:r>
    </w:p>
    <w:p>
      <w:pPr>
        <w:pStyle w:val="Heading3"/>
      </w:pPr>
      <w:r>
        <w:rPr>
          <w:color w:val="5A5A5A"/>
        </w:rPr>
        <w:t xml:space="preserve">Diapo 26 · </w:t>
      </w:r>
      <w:r>
        <w:t xml:space="preserve">Inaptitude et reclassement</w:t>
      </w:r>
    </w:p>
    <w:p>
      <w:pPr>
        <w:spacing w:after="60"/>
      </w:pPr>
      <w:r>
        <w:rPr>
          <w:b/>
          <w:bCs/>
          <w:color w:val="E2001A"/>
          <w:sz w:val="19"/>
          <w:szCs w:val="19"/>
        </w:rPr>
        <w:t xml:space="preserve">Message clé : </w:t>
      </w:r>
      <w:r>
        <w:rPr>
          <w:b/>
          <w:bCs/>
          <w:sz w:val="19"/>
          <w:szCs w:val="19"/>
        </w:rPr>
        <w:t xml:space="preserve">Protéger l’emploi du ou de la salarié·e.</w:t>
      </w:r>
    </w:p>
    <w:p>
      <w:pPr>
        <w:spacing w:after="20"/>
      </w:pPr>
      <w:r>
        <w:rPr>
          <w:i/>
          <w:iCs/>
          <w:color w:val="5A5A5A"/>
          <w:sz w:val="18"/>
          <w:szCs w:val="18"/>
        </w:rPr>
        <w:t xml:space="preserve">À développer :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sz w:val="19"/>
          <w:szCs w:val="19"/>
        </w:rPr>
        <w:t xml:space="preserve">L’inaptitude est prononcée par le médecin du travail.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sz w:val="19"/>
          <w:szCs w:val="19"/>
        </w:rPr>
        <w:t xml:space="preserve">L’employeur a une obligation de reclassement (recherche sérieuse et loyale) ; le CSE est consulté.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sz w:val="19"/>
          <w:szCs w:val="19"/>
        </w:rPr>
        <w:t xml:space="preserve">À défaut de reclassement ou de licenciement, l’employeur doit reprendre le versement du salaire après 1 mois.</w:t>
      </w:r>
    </w:p>
    <w:p>
      <w:pPr>
        <w:spacing w:after="20" w:before="30"/>
      </w:pPr>
      <w:r>
        <w:rPr>
          <w:b/>
          <w:bCs/>
          <w:color w:val="5A5A5A"/>
          <w:sz w:val="16"/>
          <w:szCs w:val="16"/>
        </w:rPr>
        <w:t xml:space="preserve">Réf. </w:t>
      </w:r>
      <w:r>
        <w:rPr>
          <w:i/>
          <w:iCs/>
          <w:color w:val="5A5A5A"/>
          <w:sz w:val="16"/>
          <w:szCs w:val="16"/>
        </w:rPr>
        <w:t xml:space="preserve">Art. L.1226-10 et suivants (inaptitude d’origine professionnelle).</w:t>
      </w:r>
    </w:p>
    <w:p>
      <w:pPr>
        <w:pBdr>
          <w:bottom w:val="single" w:color="E6E6E6" w:sz="4" w:space="4"/>
        </w:pBdr>
        <w:spacing w:after="60"/>
      </w:pPr>
      <w:r>
        <w:t xml:space="preserve"/>
      </w:r>
    </w:p>
    <w:p>
      <w:pPr>
        <w:pStyle w:val="Heading3"/>
      </w:pPr>
      <w:r>
        <w:rPr>
          <w:color w:val="5A5A5A"/>
        </w:rPr>
        <w:t xml:space="preserve">Diapo 27 · </w:t>
      </w:r>
      <w:r>
        <w:t xml:space="preserve">Inaptitude d’origine professionnelle</w:t>
      </w:r>
    </w:p>
    <w:p>
      <w:pPr>
        <w:spacing w:after="60"/>
      </w:pPr>
      <w:r>
        <w:rPr>
          <w:b/>
          <w:bCs/>
          <w:color w:val="E2001A"/>
          <w:sz w:val="19"/>
          <w:szCs w:val="19"/>
        </w:rPr>
        <w:t xml:space="preserve">Message clé : </w:t>
      </w:r>
      <w:r>
        <w:rPr>
          <w:b/>
          <w:bCs/>
          <w:sz w:val="19"/>
          <w:szCs w:val="19"/>
        </w:rPr>
        <w:t xml:space="preserve">Des protections financières renforcées.</w:t>
      </w:r>
    </w:p>
    <w:p>
      <w:pPr>
        <w:spacing w:after="20"/>
      </w:pPr>
      <w:r>
        <w:rPr>
          <w:i/>
          <w:iCs/>
          <w:color w:val="5A5A5A"/>
          <w:sz w:val="18"/>
          <w:szCs w:val="18"/>
        </w:rPr>
        <w:t xml:space="preserve">À développer :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sz w:val="19"/>
          <w:szCs w:val="19"/>
        </w:rPr>
        <w:t xml:space="preserve">Indemnité spéciale de licenciement (en principe le double de l’indemnité légale).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sz w:val="19"/>
          <w:szCs w:val="19"/>
        </w:rPr>
        <w:t xml:space="preserve">Indemnité compensatrice (équivalente au préavis).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sz w:val="19"/>
          <w:szCs w:val="19"/>
        </w:rPr>
        <w:t xml:space="preserve">Tout licenciement doit être motivé par l’impossibilité de reclassement.</w:t>
      </w:r>
    </w:p>
    <w:p>
      <w:pPr>
        <w:spacing w:after="20" w:before="30"/>
      </w:pPr>
      <w:r>
        <w:rPr>
          <w:b/>
          <w:bCs/>
          <w:color w:val="5A5A5A"/>
          <w:sz w:val="16"/>
          <w:szCs w:val="16"/>
        </w:rPr>
        <w:t xml:space="preserve">Réf. </w:t>
      </w:r>
      <w:r>
        <w:rPr>
          <w:i/>
          <w:iCs/>
          <w:color w:val="5A5A5A"/>
          <w:sz w:val="16"/>
          <w:szCs w:val="16"/>
        </w:rPr>
        <w:t xml:space="preserve">Art. L.1226-14.</w:t>
      </w:r>
    </w:p>
    <w:p>
      <w:pPr>
        <w:pBdr>
          <w:bottom w:val="single" w:color="E6E6E6" w:sz="4" w:space="4"/>
        </w:pBdr>
        <w:spacing w:after="60"/>
      </w:pPr>
      <w:r>
        <w:t xml:space="preserve"/>
      </w:r>
    </w:p>
    <w:p>
      <w:pPr>
        <w:pStyle w:val="Heading3"/>
      </w:pPr>
      <w:r>
        <w:rPr>
          <w:color w:val="5A5A5A"/>
        </w:rPr>
        <w:t xml:space="preserve">Diapo 28 · </w:t>
      </w:r>
      <w:r>
        <w:t xml:space="preserve">Intercalaire — La faute inexcusable</w:t>
      </w:r>
    </w:p>
    <w:p>
      <w:pPr>
        <w:spacing w:after="60"/>
      </w:pPr>
      <w:r>
        <w:rPr>
          <w:b/>
          <w:bCs/>
          <w:color w:val="E2001A"/>
          <w:sz w:val="19"/>
          <w:szCs w:val="19"/>
        </w:rPr>
        <w:t xml:space="preserve">Message clé : </w:t>
      </w:r>
      <w:r>
        <w:rPr>
          <w:b/>
          <w:bCs/>
          <w:sz w:val="19"/>
          <w:szCs w:val="19"/>
        </w:rPr>
        <w:t xml:space="preserve">Le levier de la réparation renforcée.</w:t>
      </w:r>
    </w:p>
    <w:p>
      <w:pPr>
        <w:spacing w:after="20"/>
      </w:pPr>
      <w:r>
        <w:rPr>
          <w:i/>
          <w:iCs/>
          <w:color w:val="5A5A5A"/>
          <w:sz w:val="18"/>
          <w:szCs w:val="18"/>
        </w:rPr>
        <w:t xml:space="preserve">À développer :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sz w:val="19"/>
          <w:szCs w:val="19"/>
        </w:rPr>
        <w:t xml:space="preserve">Annoncer : c’est l’outil qui permet d’aller au-delà de l’indemnisation forfaitaire.</w:t>
      </w:r>
    </w:p>
    <w:p>
      <w:pPr>
        <w:pBdr>
          <w:bottom w:val="single" w:color="E6E6E6" w:sz="4" w:space="4"/>
        </w:pBdr>
        <w:spacing w:after="60"/>
      </w:pPr>
      <w:r>
        <w:t xml:space="preserve"/>
      </w:r>
    </w:p>
    <w:p>
      <w:pPr>
        <w:pStyle w:val="Heading3"/>
      </w:pPr>
      <w:r>
        <w:rPr>
          <w:color w:val="5A5A5A"/>
        </w:rPr>
        <w:t xml:space="preserve">Diapo 29 · </w:t>
      </w:r>
      <w:r>
        <w:t xml:space="preserve">La faute inexcusable — c’est quoi ?</w:t>
      </w:r>
    </w:p>
    <w:p>
      <w:pPr>
        <w:spacing w:after="60"/>
      </w:pPr>
      <w:r>
        <w:rPr>
          <w:b/>
          <w:bCs/>
          <w:color w:val="E2001A"/>
          <w:sz w:val="19"/>
          <w:szCs w:val="19"/>
        </w:rPr>
        <w:t xml:space="preserve">Message clé : </w:t>
      </w:r>
      <w:r>
        <w:rPr>
          <w:b/>
          <w:bCs/>
          <w:sz w:val="19"/>
          <w:szCs w:val="19"/>
        </w:rPr>
        <w:t xml:space="preserve">Un manquement à l’obligation de sécurité de l’employeur.</w:t>
      </w:r>
    </w:p>
    <w:p>
      <w:pPr>
        <w:spacing w:after="20"/>
      </w:pPr>
      <w:r>
        <w:rPr>
          <w:i/>
          <w:iCs/>
          <w:color w:val="5A5A5A"/>
          <w:sz w:val="18"/>
          <w:szCs w:val="18"/>
        </w:rPr>
        <w:t xml:space="preserve">À développer :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sz w:val="19"/>
          <w:szCs w:val="19"/>
        </w:rPr>
        <w:t xml:space="preserve">L’employeur avait, ou aurait dû avoir, conscience du danger.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sz w:val="19"/>
          <w:szCs w:val="19"/>
        </w:rPr>
        <w:t xml:space="preserve">Il n’a pas pris les mesures de protection nécessaires.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sz w:val="19"/>
          <w:szCs w:val="19"/>
        </w:rPr>
        <w:t xml:space="preserve">Origine jurisprudentielle (arrêts « amiante » de 2002), assise sur l’obligation de sécurité.</w:t>
      </w:r>
    </w:p>
    <w:p>
      <w:pPr>
        <w:spacing w:after="20" w:before="30"/>
      </w:pPr>
      <w:r>
        <w:rPr>
          <w:b/>
          <w:bCs/>
          <w:color w:val="5A5A5A"/>
          <w:sz w:val="16"/>
          <w:szCs w:val="16"/>
        </w:rPr>
        <w:t xml:space="preserve">Réf. </w:t>
      </w:r>
      <w:r>
        <w:rPr>
          <w:i/>
          <w:iCs/>
          <w:color w:val="5A5A5A"/>
          <w:sz w:val="16"/>
          <w:szCs w:val="16"/>
        </w:rPr>
        <w:t xml:space="preserve">Obligation de sécurité : L.4121-1 ; faute inexcusable : L.452-1 et s.</w:t>
      </w:r>
    </w:p>
    <w:p>
      <w:pPr>
        <w:pBdr>
          <w:bottom w:val="single" w:color="E6E6E6" w:sz="4" w:space="4"/>
        </w:pBdr>
        <w:spacing w:after="60"/>
      </w:pPr>
      <w:r>
        <w:t xml:space="preserve"/>
      </w:r>
    </w:p>
    <w:p>
      <w:pPr>
        <w:pStyle w:val="Heading3"/>
      </w:pPr>
      <w:r>
        <w:rPr>
          <w:color w:val="5A5A5A"/>
        </w:rPr>
        <w:t xml:space="preserve">Diapo 30 · </w:t>
      </w:r>
      <w:r>
        <w:t xml:space="preserve">Les effets de la faute inexcusable</w:t>
      </w:r>
    </w:p>
    <w:p>
      <w:pPr>
        <w:spacing w:after="60"/>
      </w:pPr>
      <w:r>
        <w:rPr>
          <w:b/>
          <w:bCs/>
          <w:color w:val="E2001A"/>
          <w:sz w:val="19"/>
          <w:szCs w:val="19"/>
        </w:rPr>
        <w:t xml:space="preserve">Message clé : </w:t>
      </w:r>
      <w:r>
        <w:rPr>
          <w:b/>
          <w:bCs/>
          <w:sz w:val="19"/>
          <w:szCs w:val="19"/>
        </w:rPr>
        <w:t xml:space="preserve">Une réparation qui se rapproche du préjudice réel.</w:t>
      </w:r>
    </w:p>
    <w:p>
      <w:pPr>
        <w:spacing w:after="20"/>
      </w:pPr>
      <w:r>
        <w:rPr>
          <w:i/>
          <w:iCs/>
          <w:color w:val="5A5A5A"/>
          <w:sz w:val="18"/>
          <w:szCs w:val="18"/>
        </w:rPr>
        <w:t xml:space="preserve">À développer :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sz w:val="19"/>
          <w:szCs w:val="19"/>
        </w:rPr>
        <w:t xml:space="preserve">Majoration de la rente ou du capital (souvent doublement).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sz w:val="19"/>
          <w:szCs w:val="19"/>
        </w:rPr>
        <w:t xml:space="preserve">Réparation des préjudices personnels : souffrances physiques et morales, préjudice esthétique, d’agrément, perte ou diminution de promotion professionnelle.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sz w:val="19"/>
          <w:szCs w:val="19"/>
        </w:rPr>
        <w:t xml:space="preserve">La CPAM avance les sommes puis les récupère auprès de l’employeur.</w:t>
      </w:r>
    </w:p>
    <w:p>
      <w:pPr>
        <w:spacing w:after="20" w:before="30"/>
      </w:pPr>
      <w:r>
        <w:rPr>
          <w:b/>
          <w:bCs/>
          <w:color w:val="5A5A5A"/>
          <w:sz w:val="16"/>
          <w:szCs w:val="16"/>
        </w:rPr>
        <w:t xml:space="preserve">Réf. </w:t>
      </w:r>
      <w:r>
        <w:rPr>
          <w:i/>
          <w:iCs/>
          <w:color w:val="5A5A5A"/>
          <w:sz w:val="16"/>
          <w:szCs w:val="16"/>
        </w:rPr>
        <w:t xml:space="preserve">Majoration : L.452-2 ; préjudices : L.452-3 (élargi par le Conseil constitutionnel en 2010).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E2001A" w:sz="18"/>
              <w:bottom w:val="none" w:color="FFFFFF" w:sz="0"/>
              <w:right w:val="none" w:color="FFFFFF" w:sz="0"/>
            </w:tcBorders>
            <w:shd w:fill="FCE3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E2001A"/>
                <w:sz w:val="18"/>
                <w:szCs w:val="18"/>
              </w:rPr>
              <w:t xml:space="preserve">Angle CGT — </w:t>
            </w:r>
            <w:r>
              <w:rPr>
                <w:sz w:val="18"/>
                <w:szCs w:val="18"/>
              </w:rPr>
              <w:t xml:space="preserve">Levier puissant, mais le dossier se monte avec l’appui juridique de l’UD.</w:t>
            </w:r>
          </w:p>
        </w:tc>
      </w:tr>
    </w:tbl>
    <w:p>
      <w:pPr>
        <w:pBdr>
          <w:bottom w:val="single" w:color="E6E6E6" w:sz="4" w:space="4"/>
        </w:pBdr>
        <w:spacing w:after="60"/>
      </w:pPr>
      <w:r>
        <w:t xml:space="preserve"/>
      </w:r>
    </w:p>
    <w:p>
      <w:pPr>
        <w:pStyle w:val="Heading3"/>
      </w:pPr>
      <w:r>
        <w:rPr>
          <w:color w:val="5A5A5A"/>
        </w:rPr>
        <w:t xml:space="preserve">Diapo 31 · </w:t>
      </w:r>
      <w:r>
        <w:t xml:space="preserve">La procédure (faute inexcusable)</w:t>
      </w:r>
    </w:p>
    <w:p>
      <w:pPr>
        <w:spacing w:after="60"/>
      </w:pPr>
      <w:r>
        <w:rPr>
          <w:b/>
          <w:bCs/>
          <w:color w:val="E2001A"/>
          <w:sz w:val="19"/>
          <w:szCs w:val="19"/>
        </w:rPr>
        <w:t xml:space="preserve">Message clé : </w:t>
      </w:r>
      <w:r>
        <w:rPr>
          <w:b/>
          <w:bCs/>
          <w:sz w:val="19"/>
          <w:szCs w:val="19"/>
        </w:rPr>
        <w:t xml:space="preserve">Les étapes et le délai à ne pas manquer.</w:t>
      </w:r>
    </w:p>
    <w:p>
      <w:pPr>
        <w:spacing w:after="20"/>
      </w:pPr>
      <w:r>
        <w:rPr>
          <w:i/>
          <w:iCs/>
          <w:color w:val="5A5A5A"/>
          <w:sz w:val="18"/>
          <w:szCs w:val="18"/>
        </w:rPr>
        <w:t xml:space="preserve">À développer :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sz w:val="19"/>
          <w:szCs w:val="19"/>
        </w:rPr>
        <w:t xml:space="preserve">Action de la victime (ou de ses ayants droit).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sz w:val="19"/>
          <w:szCs w:val="19"/>
        </w:rPr>
        <w:t xml:space="preserve">Tentative de conciliation auprès de la CPAM, puis saisine du pôle social du tribunal judiciaire.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sz w:val="19"/>
          <w:szCs w:val="19"/>
        </w:rPr>
        <w:t xml:space="preserve">Prescription : 2 ans — d’où l’urgence d’agir.</w:t>
      </w:r>
    </w:p>
    <w:p>
      <w:pPr>
        <w:pBdr>
          <w:bottom w:val="single" w:color="E6E6E6" w:sz="4" w:space="4"/>
        </w:pBdr>
        <w:spacing w:after="60"/>
      </w:pPr>
      <w:r>
        <w:t xml:space="preserve"/>
      </w:r>
    </w:p>
    <w:p>
      <w:pPr>
        <w:pStyle w:val="Heading3"/>
      </w:pPr>
      <w:r>
        <w:rPr>
          <w:color w:val="5A5A5A"/>
        </w:rPr>
        <w:t xml:space="preserve">Diapo 32 · </w:t>
      </w:r>
      <w:r>
        <w:t xml:space="preserve">Contester une décision</w:t>
      </w:r>
    </w:p>
    <w:p>
      <w:pPr>
        <w:spacing w:after="60"/>
      </w:pPr>
      <w:r>
        <w:rPr>
          <w:b/>
          <w:bCs/>
          <w:color w:val="E2001A"/>
          <w:sz w:val="19"/>
          <w:szCs w:val="19"/>
        </w:rPr>
        <w:t xml:space="preserve">Message clé : </w:t>
      </w:r>
      <w:r>
        <w:rPr>
          <w:b/>
          <w:bCs/>
          <w:sz w:val="19"/>
          <w:szCs w:val="19"/>
        </w:rPr>
        <w:t xml:space="preserve">Deux circuits selon la nature du litige.</w:t>
      </w:r>
    </w:p>
    <w:p>
      <w:pPr>
        <w:spacing w:after="20"/>
      </w:pPr>
      <w:r>
        <w:rPr>
          <w:i/>
          <w:iCs/>
          <w:color w:val="5A5A5A"/>
          <w:sz w:val="18"/>
          <w:szCs w:val="18"/>
        </w:rPr>
        <w:t xml:space="preserve">À développer :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sz w:val="19"/>
          <w:szCs w:val="19"/>
        </w:rPr>
        <w:t xml:space="preserve">Contestation d’ordre médical (taux d’IPP, état de santé) : commission médicale de recours amiable, puis pôle social.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sz w:val="19"/>
          <w:szCs w:val="19"/>
        </w:rPr>
        <w:t xml:space="preserve">Autres litiges : pôle social du tribunal judiciaire.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sz w:val="19"/>
          <w:szCs w:val="19"/>
        </w:rPr>
        <w:t xml:space="preserve">Les délais de recours sont courts : agir sans attendre.</w:t>
      </w:r>
    </w:p>
    <w:p>
      <w:pPr>
        <w:pBdr>
          <w:bottom w:val="single" w:color="E6E6E6" w:sz="4" w:space="4"/>
        </w:pBdr>
        <w:spacing w:after="60"/>
      </w:pPr>
      <w:r>
        <w:t xml:space="preserve"/>
      </w:r>
    </w:p>
    <w:p>
      <w:pPr>
        <w:pStyle w:val="Heading3"/>
      </w:pPr>
      <w:r>
        <w:rPr>
          <w:color w:val="5A5A5A"/>
        </w:rPr>
        <w:t xml:space="preserve">Diapo 33 · </w:t>
      </w:r>
      <w:r>
        <w:t xml:space="preserve">La prescription</w:t>
      </w:r>
    </w:p>
    <w:p>
      <w:pPr>
        <w:spacing w:after="60"/>
      </w:pPr>
      <w:r>
        <w:rPr>
          <w:b/>
          <w:bCs/>
          <w:color w:val="E2001A"/>
          <w:sz w:val="19"/>
          <w:szCs w:val="19"/>
        </w:rPr>
        <w:t xml:space="preserve">Message clé : </w:t>
      </w:r>
      <w:r>
        <w:rPr>
          <w:b/>
          <w:bCs/>
          <w:sz w:val="19"/>
          <w:szCs w:val="19"/>
        </w:rPr>
        <w:t xml:space="preserve">Surveiller les délais, c’est le réflexe vital.</w:t>
      </w:r>
    </w:p>
    <w:p>
      <w:pPr>
        <w:spacing w:after="20"/>
      </w:pPr>
      <w:r>
        <w:rPr>
          <w:i/>
          <w:iCs/>
          <w:color w:val="5A5A5A"/>
          <w:sz w:val="18"/>
          <w:szCs w:val="18"/>
        </w:rPr>
        <w:t xml:space="preserve">À développer :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sz w:val="19"/>
          <w:szCs w:val="19"/>
        </w:rPr>
        <w:t xml:space="preserve">En AT/MP, beaucoup d’actions se prescrivent par 2 ans.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sz w:val="19"/>
          <w:szCs w:val="19"/>
        </w:rPr>
        <w:t xml:space="preserve">Repérer le point de départ du délai au cas par cas.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sz w:val="19"/>
          <w:szCs w:val="19"/>
        </w:rPr>
        <w:t xml:space="preserve">En cas de doute : saisir tôt l’UD et, si besoin, un avocat.</w:t>
      </w:r>
    </w:p>
    <w:p>
      <w:pPr>
        <w:pBdr>
          <w:bottom w:val="single" w:color="E6E6E6" w:sz="4" w:space="4"/>
        </w:pBdr>
        <w:spacing w:after="60"/>
      </w:pPr>
      <w:r>
        <w:t xml:space="preserve"/>
      </w:r>
    </w:p>
    <w:p>
      <w:pPr>
        <w:pStyle w:val="Heading3"/>
      </w:pPr>
      <w:r>
        <w:rPr>
          <w:color w:val="5A5A5A"/>
        </w:rPr>
        <w:t xml:space="preserve">Diapo 34 · </w:t>
      </w:r>
      <w:r>
        <w:t xml:space="preserve">Intercalaire — Rôle du CSE/CSSCT et du syndicat</w:t>
      </w:r>
    </w:p>
    <w:p>
      <w:pPr>
        <w:spacing w:after="60"/>
      </w:pPr>
      <w:r>
        <w:rPr>
          <w:b/>
          <w:bCs/>
          <w:color w:val="E2001A"/>
          <w:sz w:val="19"/>
          <w:szCs w:val="19"/>
        </w:rPr>
        <w:t xml:space="preserve">Message clé : </w:t>
      </w:r>
      <w:r>
        <w:rPr>
          <w:b/>
          <w:bCs/>
          <w:sz w:val="19"/>
          <w:szCs w:val="19"/>
        </w:rPr>
        <w:t xml:space="preserve">Passer du dossier individuel à l’action collective.</w:t>
      </w:r>
    </w:p>
    <w:p>
      <w:pPr>
        <w:spacing w:after="20"/>
      </w:pPr>
      <w:r>
        <w:rPr>
          <w:i/>
          <w:iCs/>
          <w:color w:val="5A5A5A"/>
          <w:sz w:val="18"/>
          <w:szCs w:val="18"/>
        </w:rPr>
        <w:t xml:space="preserve">À développer :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sz w:val="19"/>
          <w:szCs w:val="19"/>
        </w:rPr>
        <w:t xml:space="preserve">Annoncer : c’est ici que la formation prend tout son sens syndical.</w:t>
      </w:r>
    </w:p>
    <w:p>
      <w:pPr>
        <w:pBdr>
          <w:bottom w:val="single" w:color="E6E6E6" w:sz="4" w:space="4"/>
        </w:pBdr>
        <w:spacing w:after="60"/>
      </w:pPr>
      <w:r>
        <w:t xml:space="preserve"/>
      </w:r>
    </w:p>
    <w:p>
      <w:pPr>
        <w:pStyle w:val="Heading3"/>
      </w:pPr>
      <w:r>
        <w:rPr>
          <w:color w:val="5A5A5A"/>
        </w:rPr>
        <w:t xml:space="preserve">Diapo 35 · </w:t>
      </w:r>
      <w:r>
        <w:t xml:space="preserve">Les leviers du CSE / CSSCT</w:t>
      </w:r>
    </w:p>
    <w:p>
      <w:pPr>
        <w:spacing w:after="60"/>
      </w:pPr>
      <w:r>
        <w:rPr>
          <w:b/>
          <w:bCs/>
          <w:color w:val="E2001A"/>
          <w:sz w:val="19"/>
          <w:szCs w:val="19"/>
        </w:rPr>
        <w:t xml:space="preserve">Message clé : </w:t>
      </w:r>
      <w:r>
        <w:rPr>
          <w:b/>
          <w:bCs/>
          <w:sz w:val="19"/>
          <w:szCs w:val="19"/>
        </w:rPr>
        <w:t xml:space="preserve">Des outils concrets et opposables.</w:t>
      </w:r>
    </w:p>
    <w:p>
      <w:pPr>
        <w:spacing w:after="20"/>
      </w:pPr>
      <w:r>
        <w:rPr>
          <w:i/>
          <w:iCs/>
          <w:color w:val="5A5A5A"/>
          <w:sz w:val="18"/>
          <w:szCs w:val="18"/>
        </w:rPr>
        <w:t xml:space="preserve">À développer :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sz w:val="19"/>
          <w:szCs w:val="19"/>
        </w:rPr>
        <w:t xml:space="preserve">Enquête du CSE après un AT (notamment grave).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sz w:val="19"/>
          <w:szCs w:val="19"/>
        </w:rPr>
        <w:t xml:space="preserve">Droit d’alerte en cas de danger grave et imminent ; droit de retrait du ou des salarié·es.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sz w:val="19"/>
          <w:szCs w:val="19"/>
        </w:rPr>
        <w:t xml:space="preserve">Analyse et mise à jour du DUERP ; recours possible à une expertise.</w:t>
      </w:r>
    </w:p>
    <w:p>
      <w:pPr>
        <w:spacing w:after="20" w:before="30"/>
      </w:pPr>
      <w:r>
        <w:rPr>
          <w:b/>
          <w:bCs/>
          <w:color w:val="5A5A5A"/>
          <w:sz w:val="16"/>
          <w:szCs w:val="16"/>
        </w:rPr>
        <w:t xml:space="preserve">Réf. </w:t>
      </w:r>
      <w:r>
        <w:rPr>
          <w:i/>
          <w:iCs/>
          <w:color w:val="5A5A5A"/>
          <w:sz w:val="16"/>
          <w:szCs w:val="16"/>
        </w:rPr>
        <w:t xml:space="preserve">Enquêtes : L.2312-13 ; alerte/retrait : L.4131-1 et s. ; DUERP : R.4121-1.</w:t>
      </w:r>
    </w:p>
    <w:p>
      <w:pPr>
        <w:pBdr>
          <w:bottom w:val="single" w:color="E6E6E6" w:sz="4" w:space="4"/>
        </w:pBdr>
        <w:spacing w:after="60"/>
      </w:pPr>
      <w:r>
        <w:t xml:space="preserve"/>
      </w:r>
    </w:p>
    <w:p>
      <w:pPr>
        <w:pStyle w:val="Heading3"/>
      </w:pPr>
      <w:r>
        <w:rPr>
          <w:color w:val="5A5A5A"/>
        </w:rPr>
        <w:t xml:space="preserve">Diapo 36 · </w:t>
      </w:r>
      <w:r>
        <w:t xml:space="preserve">L’enquête : l’arbre des causes</w:t>
      </w:r>
    </w:p>
    <w:p>
      <w:pPr>
        <w:spacing w:after="60"/>
      </w:pPr>
      <w:r>
        <w:rPr>
          <w:b/>
          <w:bCs/>
          <w:color w:val="E2001A"/>
          <w:sz w:val="19"/>
          <w:szCs w:val="19"/>
        </w:rPr>
        <w:t xml:space="preserve">Message clé : </w:t>
      </w:r>
      <w:r>
        <w:rPr>
          <w:b/>
          <w:bCs/>
          <w:sz w:val="19"/>
          <w:szCs w:val="19"/>
        </w:rPr>
        <w:t xml:space="preserve">Une méthode pour comprendre, pas pour accuser.</w:t>
      </w:r>
    </w:p>
    <w:p>
      <w:pPr>
        <w:spacing w:after="20"/>
      </w:pPr>
      <w:r>
        <w:rPr>
          <w:i/>
          <w:iCs/>
          <w:color w:val="5A5A5A"/>
          <w:sz w:val="18"/>
          <w:szCs w:val="18"/>
        </w:rPr>
        <w:t xml:space="preserve">À développer :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sz w:val="19"/>
          <w:szCs w:val="19"/>
        </w:rPr>
        <w:t xml:space="preserve">Recueillir les faits immédiatement, sans chercher de coupable.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sz w:val="19"/>
          <w:szCs w:val="19"/>
        </w:rPr>
        <w:t xml:space="preserve">Remonter les causes : techniques, humaines, organisationnelles (logique multicausale).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sz w:val="19"/>
          <w:szCs w:val="19"/>
        </w:rPr>
        <w:t xml:space="preserve">Aboutir à des mesures de prévention, puis en assurer le suivi.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E2001A" w:sz="18"/>
              <w:bottom w:val="none" w:color="FFFFFF" w:sz="0"/>
              <w:right w:val="none" w:color="FFFFFF" w:sz="0"/>
            </w:tcBorders>
            <w:shd w:fill="FCE3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E2001A"/>
                <w:sz w:val="18"/>
                <w:szCs w:val="18"/>
              </w:rPr>
              <w:t xml:space="preserve">Angle CGT — </w:t>
            </w:r>
            <w:r>
              <w:rPr>
                <w:sz w:val="18"/>
                <w:szCs w:val="18"/>
              </w:rPr>
              <w:t xml:space="preserve">Refuser l’explication paresseuse par « l’erreur humaine » : presque toujours, l’organisation est en cause.</w:t>
            </w:r>
          </w:p>
        </w:tc>
      </w:tr>
    </w:tbl>
    <w:p>
      <w:pPr>
        <w:pBdr>
          <w:bottom w:val="single" w:color="E6E6E6" w:sz="4" w:space="4"/>
        </w:pBdr>
        <w:spacing w:after="60"/>
      </w:pPr>
      <w:r>
        <w:t xml:space="preserve"/>
      </w:r>
    </w:p>
    <w:p>
      <w:pPr>
        <w:pStyle w:val="Heading3"/>
      </w:pPr>
      <w:r>
        <w:rPr>
          <w:color w:val="5A5A5A"/>
        </w:rPr>
        <w:t xml:space="preserve">Diapo 37 · </w:t>
      </w:r>
      <w:r>
        <w:t xml:space="preserve">Du cas individuel au collectif</w:t>
      </w:r>
    </w:p>
    <w:p>
      <w:pPr>
        <w:spacing w:after="60"/>
      </w:pPr>
      <w:r>
        <w:rPr>
          <w:b/>
          <w:bCs/>
          <w:color w:val="E2001A"/>
          <w:sz w:val="19"/>
          <w:szCs w:val="19"/>
        </w:rPr>
        <w:t xml:space="preserve">Message clé : </w:t>
      </w:r>
      <w:r>
        <w:rPr>
          <w:b/>
          <w:bCs/>
          <w:sz w:val="19"/>
          <w:szCs w:val="19"/>
        </w:rPr>
        <w:t xml:space="preserve">La finalité syndicale de la démarche.</w:t>
      </w:r>
    </w:p>
    <w:p>
      <w:pPr>
        <w:spacing w:after="20"/>
      </w:pPr>
      <w:r>
        <w:rPr>
          <w:i/>
          <w:iCs/>
          <w:color w:val="5A5A5A"/>
          <w:sz w:val="18"/>
          <w:szCs w:val="18"/>
        </w:rPr>
        <w:t xml:space="preserve">À développer :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sz w:val="19"/>
          <w:szCs w:val="19"/>
        </w:rPr>
        <w:t xml:space="preserve">Chaque AT/MP révèle un problème d’organisation du travail.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sz w:val="19"/>
          <w:szCs w:val="19"/>
        </w:rPr>
        <w:t xml:space="preserve">En faire une revendication : effectifs, cadences, matériel, formation, aménagements.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sz w:val="19"/>
          <w:szCs w:val="19"/>
        </w:rPr>
        <w:t xml:space="preserve">Inscrire les mesures au DUERP et au programme annuel de prévention.</w:t>
      </w:r>
    </w:p>
    <w:p>
      <w:pPr>
        <w:pBdr>
          <w:bottom w:val="single" w:color="E6E6E6" w:sz="4" w:space="4"/>
        </w:pBdr>
        <w:spacing w:after="60"/>
      </w:pPr>
      <w:r>
        <w:t xml:space="preserve"/>
      </w:r>
    </w:p>
    <w:p>
      <w:pPr>
        <w:pStyle w:val="Heading3"/>
      </w:pPr>
      <w:r>
        <w:rPr>
          <w:color w:val="5A5A5A"/>
        </w:rPr>
        <w:t xml:space="preserve">Diapo 38 · </w:t>
      </w:r>
      <w:r>
        <w:t xml:space="preserve">Mise en situation — « De l’accident à la prévention »</w:t>
      </w:r>
    </w:p>
    <w:p>
      <w:pPr>
        <w:spacing w:after="60"/>
      </w:pPr>
      <w:r>
        <w:rPr>
          <w:b/>
          <w:bCs/>
          <w:color w:val="E2001A"/>
          <w:sz w:val="19"/>
          <w:szCs w:val="19"/>
        </w:rPr>
        <w:t xml:space="preserve">Message clé : </w:t>
      </w:r>
      <w:r>
        <w:rPr>
          <w:b/>
          <w:bCs/>
          <w:sz w:val="19"/>
          <w:szCs w:val="19"/>
        </w:rPr>
        <w:t xml:space="preserve">Mettre en pratique l’enquête et la revendication.</w:t>
      </w:r>
    </w:p>
    <w:p>
      <w:pPr>
        <w:spacing w:after="20"/>
      </w:pPr>
      <w:r>
        <w:rPr>
          <w:i/>
          <w:iCs/>
          <w:color w:val="5A5A5A"/>
          <w:sz w:val="18"/>
          <w:szCs w:val="18"/>
        </w:rPr>
        <w:t xml:space="preserve">À développer :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sz w:val="19"/>
          <w:szCs w:val="19"/>
        </w:rPr>
        <w:t xml:space="preserve">Cas d’un AT grave sur une ligne de production.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sz w:val="19"/>
          <w:szCs w:val="19"/>
        </w:rPr>
        <w:t xml:space="preserve">Construire collectivement : enquête (arbre des causes), suites DUERP, revendication.</w:t>
      </w:r>
    </w:p>
    <w:p>
      <w:pPr>
        <w:pBdr>
          <w:bottom w:val="single" w:color="E6E6E6" w:sz="4" w:space="4"/>
        </w:pBdr>
        <w:spacing w:after="60"/>
      </w:pPr>
      <w:r>
        <w:t xml:space="preserve"/>
      </w:r>
    </w:p>
    <w:p>
      <w:pPr>
        <w:pStyle w:val="Heading3"/>
      </w:pPr>
      <w:r>
        <w:rPr>
          <w:color w:val="5A5A5A"/>
        </w:rPr>
        <w:t xml:space="preserve">Diapo 39 · </w:t>
      </w:r>
      <w:r>
        <w:t xml:space="preserve">Évaluation et bilan des 2 jours</w:t>
      </w:r>
    </w:p>
    <w:p>
      <w:pPr>
        <w:spacing w:after="60"/>
      </w:pPr>
      <w:r>
        <w:rPr>
          <w:b/>
          <w:bCs/>
          <w:color w:val="E2001A"/>
          <w:sz w:val="19"/>
          <w:szCs w:val="19"/>
        </w:rPr>
        <w:t xml:space="preserve">Message clé : </w:t>
      </w:r>
      <w:r>
        <w:rPr>
          <w:b/>
          <w:bCs/>
          <w:sz w:val="19"/>
          <w:szCs w:val="19"/>
        </w:rPr>
        <w:t xml:space="preserve">Mesurer les acquis et préparer la suite.</w:t>
      </w:r>
    </w:p>
    <w:p>
      <w:pPr>
        <w:spacing w:after="20"/>
      </w:pPr>
      <w:r>
        <w:rPr>
          <w:i/>
          <w:iCs/>
          <w:color w:val="5A5A5A"/>
          <w:sz w:val="18"/>
          <w:szCs w:val="18"/>
        </w:rPr>
        <w:t xml:space="preserve">À développer :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sz w:val="19"/>
          <w:szCs w:val="19"/>
        </w:rPr>
        <w:t xml:space="preserve">Évaluation à chaud, puis à froid (2 à 3 mois après).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sz w:val="19"/>
          <w:szCs w:val="19"/>
        </w:rPr>
        <w:t xml:space="preserve">Chacun repart avec un mini plan d’action ; organiser l’essaimage dans les UD.</w:t>
      </w:r>
    </w:p>
    <w:p>
      <w:pPr>
        <w:pBdr>
          <w:bottom w:val="single" w:color="E6E6E6" w:sz="4" w:space="4"/>
        </w:pBdr>
        <w:spacing w:after="60"/>
      </w:pPr>
      <w:r>
        <w:t xml:space="preserve"/>
      </w:r>
    </w:p>
    <w:p>
      <w:pPr>
        <w:pStyle w:val="Heading3"/>
      </w:pPr>
      <w:r>
        <w:rPr>
          <w:color w:val="5A5A5A"/>
        </w:rPr>
        <w:t xml:space="preserve">Diapo 40 · </w:t>
      </w:r>
      <w:r>
        <w:t xml:space="preserve">Ressources utiles</w:t>
      </w:r>
    </w:p>
    <w:p>
      <w:pPr>
        <w:spacing w:after="60"/>
      </w:pPr>
      <w:r>
        <w:rPr>
          <w:b/>
          <w:bCs/>
          <w:color w:val="E2001A"/>
          <w:sz w:val="19"/>
          <w:szCs w:val="19"/>
        </w:rPr>
        <w:t xml:space="preserve">Message clé : </w:t>
      </w:r>
      <w:r>
        <w:rPr>
          <w:b/>
          <w:bCs/>
          <w:sz w:val="19"/>
          <w:szCs w:val="19"/>
        </w:rPr>
        <w:t xml:space="preserve">Où trouver l’information fiable.</w:t>
      </w:r>
    </w:p>
    <w:p>
      <w:pPr>
        <w:spacing w:after="20"/>
      </w:pPr>
      <w:r>
        <w:rPr>
          <w:i/>
          <w:iCs/>
          <w:color w:val="5A5A5A"/>
          <w:sz w:val="18"/>
          <w:szCs w:val="18"/>
        </w:rPr>
        <w:t xml:space="preserve">À développer :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sz w:val="19"/>
          <w:szCs w:val="19"/>
        </w:rPr>
        <w:t xml:space="preserve">ameli.fr (Assurance Maladie – Risques professionnels) : procédures, formulaires, feuille d’accident.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sz w:val="19"/>
          <w:szCs w:val="19"/>
        </w:rPr>
        <w:t xml:space="preserve">Légifrance : L.411-1, L.411-2, R.441-2, R.441-10, L.452-1 et s., tableaux de MP.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sz w:val="19"/>
          <w:szCs w:val="19"/>
        </w:rPr>
        <w:t xml:space="preserve">INRS : tableaux, prévention, risques par métier ; service-public.fr.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sz w:val="19"/>
          <w:szCs w:val="19"/>
        </w:rPr>
        <w:t xml:space="preserve">CGT : collectif santé au travail de l’UD et appui juridique.</w:t>
      </w:r>
    </w:p>
    <w:p>
      <w:pPr>
        <w:pBdr>
          <w:bottom w:val="single" w:color="E6E6E6" w:sz="4" w:space="4"/>
        </w:pBdr>
        <w:spacing w:after="60"/>
      </w:pPr>
      <w:r>
        <w:t xml:space="preserve"/>
      </w:r>
    </w:p>
    <w:p>
      <w:pPr>
        <w:pStyle w:val="Heading3"/>
      </w:pPr>
      <w:r>
        <w:rPr>
          <w:color w:val="5A5A5A"/>
        </w:rPr>
        <w:t xml:space="preserve">Diapo 41 · </w:t>
      </w:r>
      <w:r>
        <w:t xml:space="preserve">Clôture — Merci</w:t>
      </w:r>
    </w:p>
    <w:p>
      <w:pPr>
        <w:spacing w:after="60"/>
      </w:pPr>
      <w:r>
        <w:rPr>
          <w:b/>
          <w:bCs/>
          <w:color w:val="E2001A"/>
          <w:sz w:val="19"/>
          <w:szCs w:val="19"/>
        </w:rPr>
        <w:t xml:space="preserve">Message clé : </w:t>
      </w:r>
      <w:r>
        <w:rPr>
          <w:b/>
          <w:bCs/>
          <w:sz w:val="19"/>
          <w:szCs w:val="19"/>
        </w:rPr>
        <w:t xml:space="preserve">Ouvrir sur l’action.</w:t>
      </w:r>
    </w:p>
    <w:p>
      <w:pPr>
        <w:spacing w:after="20"/>
      </w:pPr>
      <w:r>
        <w:rPr>
          <w:i/>
          <w:iCs/>
          <w:color w:val="5A5A5A"/>
          <w:sz w:val="18"/>
          <w:szCs w:val="18"/>
        </w:rPr>
        <w:t xml:space="preserve">À développer :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sz w:val="19"/>
          <w:szCs w:val="19"/>
        </w:rPr>
        <w:t xml:space="preserve">Donner les contacts de l’UD et du collectif santé au travail.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sz w:val="19"/>
          <w:szCs w:val="19"/>
        </w:rPr>
        <w:t xml:space="preserve">Encourager chacun à accompagner un premier dossier et à revenir vers le réseau CGT.</w:t>
      </w:r>
    </w:p>
    <w:p>
      <w:pPr>
        <w:pBdr>
          <w:bottom w:val="single" w:color="E6E6E6" w:sz="4" w:space="4"/>
        </w:pBdr>
        <w:spacing w:after="6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A5A5A"/>
        <w:sz w:val="14"/>
        <w:szCs w:val="14"/>
      </w:rPr>
      <w:t xml:space="preserve">Document interne CGT — à actualiser — page </w:t>
    </w:r>
    <w:r>
      <w:rPr>
        <w:color w:val="5A5A5A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001A" w:sz="6" w:space="4"/>
      </w:pBdr>
    </w:pPr>
    <w:r>
      <w:rPr>
        <w:b/>
        <w:bCs/>
        <w:color w:val="E2001A"/>
        <w:sz w:val="16"/>
        <w:szCs w:val="16"/>
      </w:rPr>
      <w:t xml:space="preserve">CGT Occitanie</w:t>
    </w:r>
    <w:r>
      <w:rPr>
        <w:color w:val="5A5A5A"/>
        <w:sz w:val="16"/>
        <w:szCs w:val="16"/>
      </w:rPr>
      <w:t xml:space="preserve">  —  Livret formateur AT/MP (argumentaire par diapo)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420" w:hanging="240"/>
      </w:pPr>
      <w:rPr>
        <w:color w:val="E2001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1F1F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E2001A" w:sz="12" w:space="4"/>
      </w:pBdr>
      <w:spacing w:after="120"/>
    </w:pPr>
    <w:rPr>
      <w:rFonts w:ascii="Arial" w:cs="Arial" w:eastAsia="Arial" w:hAnsi="Arial"/>
      <w:b/>
      <w:bCs/>
      <w:color w:val="E2001A"/>
      <w:sz w:val="30"/>
      <w:szCs w:val="30"/>
    </w:rPr>
  </w:style>
  <w:style w:type="paragraph" w:styleId="Heading2">
    <w:name w:val="Heading 2"/>
    <w:basedOn w:val="Normal"/>
    <w:next w:val="Normal"/>
    <w:qFormat/>
    <w:pPr>
      <w:shd w:fill="E2001A" w:val="clear"/>
      <w:spacing w:after="120" w:before="240"/>
    </w:pPr>
    <w:rPr>
      <w:rFonts w:ascii="Arial" w:cs="Arial" w:eastAsia="Arial" w:hAnsi="Arial"/>
      <w:b/>
      <w:bCs/>
      <w:color w:val="FFFFFF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60"/>
    </w:pPr>
    <w:rPr>
      <w:rFonts w:ascii="Arial" w:cs="Arial" w:eastAsia="Arial" w:hAnsi="Arial"/>
      <w:b/>
      <w:bCs/>
      <w:color w:val="1F1F1F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footnotes" Target="footnote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customXml" Target="../customXml/item2.xml"/><Relationship Id="rId5" Type="http://schemas.openxmlformats.org/officeDocument/2006/relationships/settings" Target="settings.xml"/><Relationship Id="rId10" Type="http://schemas.openxmlformats.org/officeDocument/2006/relationships/customXml" Target="../customXml/item1.xml"/><Relationship Id="rId4" Type="http://schemas.openxmlformats.org/officeDocument/2006/relationships/endnotes" Target="endnotes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D1C99DF81D58C459A0752CD299F3B48" ma:contentTypeVersion="19" ma:contentTypeDescription="Crée un document." ma:contentTypeScope="" ma:versionID="279258a5cf5b3d8729a33cb73af77d03">
  <xsd:schema xmlns:xsd="http://www.w3.org/2001/XMLSchema" xmlns:xs="http://www.w3.org/2001/XMLSchema" xmlns:p="http://schemas.microsoft.com/office/2006/metadata/properties" xmlns:ns2="01a50bae-ed6b-4d99-a0e2-9f103018a613" xmlns:ns3="b687e438-0e31-4113-9e3b-15fe9f8f7bc8" targetNamespace="http://schemas.microsoft.com/office/2006/metadata/properties" ma:root="true" ma:fieldsID="17c9c7b00cbc10e75b7300f63173bd05" ns2:_="" ns3:_="">
    <xsd:import namespace="01a50bae-ed6b-4d99-a0e2-9f103018a613"/>
    <xsd:import namespace="b687e438-0e31-4113-9e3b-15fe9f8f7bc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a50bae-ed6b-4d99-a0e2-9f103018a613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f3355cd-5ae8-444d-be41-5de48b334db3}" ma:internalName="TaxCatchAll" ma:showField="CatchAllData" ma:web="01a50bae-ed6b-4d99-a0e2-9f103018a61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87e438-0e31-4113-9e3b-15fe9f8f7b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Balises d’images" ma:readOnly="false" ma:fieldId="{5cf76f15-5ced-4ddc-b409-7134ff3c332f}" ma:taxonomyMulti="true" ma:sspId="b1358893-1537-4a79-9825-17241be0611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1a50bae-ed6b-4d99-a0e2-9f103018a613" xsi:nil="true"/>
    <lcf76f155ced4ddcb4097134ff3c332f xmlns="b687e438-0e31-4113-9e3b-15fe9f8f7bc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AE7C9AC-E5B7-4B85-BBBB-366640EB2B22}"/>
</file>

<file path=customXml/itemProps2.xml><?xml version="1.0" encoding="utf-8"?>
<ds:datastoreItem xmlns:ds="http://schemas.openxmlformats.org/officeDocument/2006/customXml" ds:itemID="{77A33544-DB47-41C4-A169-14C4D43684C2}"/>
</file>

<file path=customXml/itemProps3.xml><?xml version="1.0" encoding="utf-8"?>
<ds:datastoreItem xmlns:ds="http://schemas.openxmlformats.org/officeDocument/2006/customXml" ds:itemID="{A63F1689-9682-4901-83ED-119FB3975C3F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Livret formateur AT/MP — argumentaire par diapo</dc:title>
  <dc:creator>CGT Occitanie</dc:creator>
  <cp:lastModifiedBy>Un-named</cp:lastModifiedBy>
  <cp:revision>1</cp:revision>
  <dcterms:created xsi:type="dcterms:W3CDTF">2026-06-05T14:44:25Z</dcterms:created>
  <dcterms:modified xsi:type="dcterms:W3CDTF">2026-06-05T14:44:25Z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0x010100CD1C99DF81D58C459A0752CD299F3B48</vt:lpwstr>
  </property>
</Properties>
</file>