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8181b"/>
          <w:sz w:val="56"/>
          <w:szCs w:val="56"/>
        </w:rPr>
        <w:t xml:space="preserve">M&amp;A OS PORTAL</w:t>
      </w:r>
    </w:p>
    <w:p>
      <w:pPr>
        <w:spacing w:after="200"/>
        <w:jc w:val="center"/>
      </w:pPr>
      <w:r>
        <w:rPr>
          <w:color w:val="71717a"/>
          <w:sz w:val="28"/>
          <w:szCs w:val="28"/>
        </w:rPr>
        <w:t xml:space="preserve">Deal Execution Platform</w:t>
      </w:r>
    </w:p>
    <w:p>
      <w:pPr>
        <w:spacing w:before="600"/>
        <w:jc w:val="center"/>
      </w:pPr>
      <w:r>
        <w:rPr>
          <w:b/>
          <w:bCs/>
          <w:color w:val="18181b"/>
          <w:sz w:val="40"/>
          <w:szCs w:val="40"/>
        </w:rPr>
        <w:t xml:space="preserve">AUDIT TECHNIQUE COMPLET</w:t>
      </w:r>
    </w:p>
    <w:p>
      <w:pPr>
        <w:spacing w:after="200"/>
        <w:jc w:val="center"/>
      </w:pPr>
      <w:r>
        <w:rPr>
          <w:color w:val="71717a"/>
          <w:sz w:val="24"/>
          <w:szCs w:val="24"/>
        </w:rPr>
        <w:t xml:space="preserve">Architecture, Moteur de Calcul FEC, Outputs &amp; Mapping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color w:val="a1a1aa"/>
          <w:sz w:val="22"/>
          <w:szCs w:val="22"/>
        </w:rPr>
        <w:t xml:space="preserve">Version 2.0 — Mars 2026</w:t>
      </w:r>
    </w:p>
    <w:p>
      <w:pPr>
        <w:jc w:val="center"/>
      </w:pPr>
      <w:r>
        <w:rPr>
          <w:color w:val="a1a1aa"/>
          <w:sz w:val="22"/>
          <w:szCs w:val="22"/>
        </w:rPr>
        <w:t xml:space="preserve">Alvora Partners — Confidentiel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Vue d’ensemble de la plateforme</w:t>
      </w:r>
    </w:p>
    <w:p>
      <w:pPr>
        <w:spacing w:after="120" w:line="276"/>
      </w:pPr>
      <w:r>
        <w:t xml:space="preserve">M&amp;A OS est une plateforme SaaS destinée aux investment bankers pour l’exécution de mandats M&amp;A (sell-side, buy-side, valorisation). Le premier module actif est le FEC Analyzer, qui transforme les Fichiers des Écritures Comptables (norme DGFiP) en analyses financières structurées pour la due diligence.</w:t>
      </w:r>
    </w:p>
    <w:p>
      <w:pPr>
        <w:pStyle w:val="Heading2"/>
      </w:pPr>
      <w:r>
        <w:t xml:space="preserve">1.1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3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16.1.6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19.2.3 / 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Styles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4.x / 4.0.2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Graphiques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&amp;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(SSR)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2.99.0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Icônes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0.577.0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Runtime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Flux d’authentification</w:t>
      </w:r>
    </w:p>
    <w:p>
      <w:pPr>
        <w:spacing w:after="120" w:line="276"/>
      </w:pPr>
      <w:r>
        <w:t xml:space="preserve">Le middleware Next.js intercepte chaque requête et impose un flux séquentiel strict :</w:t>
      </w:r>
    </w:p>
    <w:p>
      <w:pPr>
        <w:pStyle w:val="ListParagraph"/>
        <w:numPr>
          <w:ilvl w:val="0"/>
          <w:numId w:val="2"/>
        </w:numPr>
      </w:pPr>
      <w:r>
        <w:t xml:space="preserve">Utilisateur non authentifié → redirection vers /login</w:t>
      </w:r>
    </w:p>
    <w:p>
      <w:pPr>
        <w:pStyle w:val="ListParagraph"/>
        <w:numPr>
          <w:ilvl w:val="0"/>
          <w:numId w:val="2"/>
        </w:numPr>
      </w:pPr>
      <w:r>
        <w:t xml:space="preserve">Authentifié sans NDA signé → redirection forcée vers /nda</w:t>
      </w:r>
    </w:p>
    <w:p>
      <w:pPr>
        <w:pStyle w:val="ListParagraph"/>
        <w:numPr>
          <w:ilvl w:val="0"/>
          <w:numId w:val="2"/>
        </w:numPr>
      </w:pPr>
      <w:r>
        <w:t xml:space="preserve">Authentifié + NDA → accès au dashboard et aux modules</w:t>
      </w:r>
    </w:p>
    <w:p>
      <w:pPr>
        <w:spacing w:after="80"/>
      </w:pPr>
    </w:p>
    <w:p>
      <w:pPr>
        <w:spacing w:after="120" w:line="276"/>
      </w:pPr>
      <w:r>
        <w:t xml:space="preserve">Supabase gère 4 clients distincts : browser (CSR), server (SSR via cookies), middleware (requête/réponse), admin (opérations privilégiées). Le RLS (Row Level Security) est activé sur les 3 tables : profiles, nda_signatures, os_modules.</w:t>
      </w:r>
    </w:p>
    <w:p>
      <w:pPr>
        <w:pStyle w:val="Heading2"/>
      </w:pPr>
      <w:r>
        <w:t xml:space="preserve">1.3 Schéma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48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Colonnes clés</w:t>
            </w:r>
          </w:p>
        </w:tc>
        <w:tc>
          <w:tcPr>
            <w:tcW w:type="dxa" w:w="348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email, full_name, company,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 utilisateur (auto-créé via trigger)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nda_signatures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user_id, signed_at, ip_address, full_name_typed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Traçabilité 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os_modules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slug, name, status, requires_role, sort_order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des modules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Parsing du fichier FEC</w:t>
      </w:r>
    </w:p>
    <w:p>
      <w:pPr>
        <w:spacing w:after="120" w:line="276"/>
      </w:pPr>
      <w:r>
        <w:t xml:space="preserve">Le parser (parser.ts, 323 lignes) transforme un fichier brut .txt/.csv conforme DGFiP en un tableau typé de FecEntry[]. Il gère les cas limites rencontrés en pratique sur les FEC français.</w:t>
      </w:r>
    </w:p>
    <w:p>
      <w:pPr>
        <w:pStyle w:val="Heading2"/>
      </w:pPr>
      <w:r>
        <w:t xml:space="preserve">2.1 Détection automatique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3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Encodage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UTF-8 (primaire) avec fallback Windows-1252 via TextDecoder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Séparateur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Auto-détection : tabulation, pipe (|), point-virgule (;)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YYYYMMDD (DGFiP), DD/MM/YYYY, 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 : « 1 234 567,89 » → 1234567.89 (espaces insécables inclus)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Colonnes requises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JournalCode, EcritureDate, CompteNum, Debit,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Colonnes totales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champs DGFiP standard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Validation</w:t>
      </w:r>
    </w:p>
    <w:p>
      <w:pPr>
        <w:spacing w:after="120" w:line="276"/>
      </w:pPr>
      <w:r>
        <w:t xml:space="preserve">Le parser valide chaque ligne : CompteNum obligatoire, EcritureDate valide. Les erreurs sont loguées (max 50 détaillées, résumé ensuite). Un </w:t>
      </w:r>
      <w:r>
        <w:rPr>
          <w:b/>
          <w:bCs/>
        </w:rPr>
        <w:t xml:space="preserve">contrôle d’équilibre</w:t>
      </w:r>
      <w:r>
        <w:t xml:space="preserve"> débit/crédit est effectué en fin de parsing (warning si écart &gt; 0.01 €).</w:t>
      </w:r>
    </w:p>
    <w:p>
      <w:r>
        <w:br w:type="page"/>
      </w:r>
    </w:p>
    <w:p>
      <w:pPr>
        <w:pStyle w:val="Heading1"/>
      </w:pPr>
      <w:r>
        <w:t xml:space="preserve">3. Système de mapping comptable</w:t>
      </w:r>
    </w:p>
    <w:p>
      <w:pPr>
        <w:spacing w:after="120" w:line="276"/>
      </w:pPr>
      <w:r>
        <w:t xml:space="preserve">Le fichier mapping.ts (1 680 lignes) contient 4 tables déclaratives JSON qui pilotent l’intégralité des calculs. Aucune logique métier n’est hardcodée : ajouter un compte ou un KPI se fait uniquement par ajout d’une entrée dans la table.</w:t>
      </w:r>
    </w:p>
    <w:p>
      <w:pPr>
        <w:pStyle w:val="Heading2"/>
      </w:pPr>
      <w:r>
        <w:t xml:space="preserve">3.1 Référentiel PCG</w:t>
      </w:r>
    </w:p>
    <w:p>
      <w:pPr>
        <w:spacing w:after="120" w:line="276"/>
      </w:pPr>
      <w:r>
        <w:t xml:space="preserve">Version du mapping : </w:t>
      </w:r>
      <w:r>
        <w:rPr>
          <w:rFonts w:ascii="Courier New" w:cs="Courier New" w:eastAsia="Courier New" w:hAnsi="Courier New"/>
          <w:sz w:val="18"/>
          <w:szCs w:val="18"/>
        </w:rPr>
        <w:t xml:space="preserve">3.0-TS-Master</w:t>
      </w:r>
      <w:r>
        <w:t xml:space="preserve"> — Référentiel : </w:t>
      </w:r>
      <w:r>
        <w:rPr>
          <w:rFonts w:ascii="Courier New" w:cs="Courier New" w:eastAsia="Courier New" w:hAnsi="Courier New"/>
          <w:sz w:val="18"/>
          <w:szCs w:val="18"/>
        </w:rPr>
        <w:t xml:space="preserve">PCG 2025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Constantes de filtrage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Journaux exclus du P&amp;L : </w:t>
      </w:r>
      <w:r>
        <w:t xml:space="preserve">AN, RAN, ANOUV, OUV (à nouveaux / ouverture)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Journaux de clôture : </w:t>
      </w:r>
      <w:r>
        <w:t xml:space="preserve">CLO, SIT, BILAN → seuls les comptes 6x/7x sont retenus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Comptes exclus : </w:t>
      </w:r>
      <w:r>
        <w:t xml:space="preserve">12x (affectation du résultat), 89x (transferts)</w:t>
      </w:r>
    </w:p>
    <w:p>
      <w:pPr>
        <w:pStyle w:val="Heading2"/>
      </w:pPr>
      <w:r>
        <w:t xml:space="preserve">3.2 Table P&amp;L SIG (65 lignes)</w:t>
      </w:r>
    </w:p>
    <w:p>
      <w:pPr>
        <w:spacing w:after="120" w:line="276"/>
      </w:pPr>
      <w:r>
        <w:t xml:space="preserve">Chaque ligne définit un poste du compte de résultat, avec un identifiant unique (PL_xxx), les préfixes PCG à agréger, les exclusions, la convention de signe, et une formule pour les sous-totaux.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1560"/>
        <w:gridCol w:w="1800"/>
        <w:gridCol w:w="1500"/>
      </w:tblGrid>
      <w:tr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Libellé</w:t>
            </w:r>
          </w:p>
        </w:tc>
        <w:tc>
          <w:tcPr>
            <w:tcW w:type="dxa" w:w="15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PCG Prefix</w:t>
            </w:r>
          </w:p>
        </w:tc>
        <w:tc>
          <w:tcPr>
            <w:tcW w:type="dxa" w:w="15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PL_010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Ventes de marchandises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PL_030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Chiffre d’affaires 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PL_080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Achats marchandises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PL_150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Valeur ajoutée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PL_170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Salaires &amp; charges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641…648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PL_180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 (EBE)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PL_240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 (Résultat expl.)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PL_340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PL_900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Contrôle 12x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120, 129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71717a"/>
        </w:rPr>
        <w:t xml:space="preserve">C-D = credit_minus_debit (produits). D-C = debit_minus_credit (charges). Formule = référence à d’autres lignes PL_xxx.</w:t>
      </w:r>
    </w:p>
    <w:p>
      <w:pPr>
        <w:pStyle w:val="Heading2"/>
      </w:pPr>
      <w:r>
        <w:t xml:space="preserve">3.3 Table BFR (35 lignes)</w:t>
      </w:r>
    </w:p>
    <w:p>
      <w:pPr>
        <w:spacing w:after="120" w:line="276"/>
      </w:pPr>
      <w:r>
        <w:t xml:space="preserve">Catégories : actif circulant opérationnel, passif circulant opérationnel, hors exploitation, trésorerie, dette financière. Chaque ligne a un ratio lié (DSO, DPO, DIO) pour le rapprochement KPI.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1560"/>
        <w:gridCol w:w="1200"/>
      </w:tblGrid>
      <w:tr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Libellé</w:t>
            </w:r>
          </w:p>
        </w:tc>
        <w:tc>
          <w:tcPr>
            <w:tcW w:type="dxa" w:w="24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5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Créances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operating_asset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Stocks 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operating_asset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BFR_110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Dettes fournisseurs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operating_liability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actif op.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BFR_210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passif op.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BFR_220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BFR Opérationnel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BFR_200-210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3.4 Table P&amp;L Anglo-Saxon (17 lignes)</w:t>
      </w:r>
    </w:p>
    <w:p>
      <w:pPr>
        <w:spacing w:after="120" w:line="276"/>
      </w:pPr>
      <w:r>
        <w:t xml:space="preserve">Reclassification du SIG français en format M&amp;A international. Chaque ligne référence des PL_xxx avec un multiplicateur de signe (+1/-1).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1560"/>
        <w:gridCol w:w="1000"/>
      </w:tblGrid>
      <w:tr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EN</w:t>
            </w:r>
          </w:p>
        </w:tc>
        <w:tc>
          <w:tcPr>
            <w:tcW w:type="dxa" w:w="28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FR</w:t>
            </w:r>
          </w:p>
        </w:tc>
        <w:tc>
          <w:tcPr>
            <w:tcW w:type="dxa" w:w="15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Chiffre d’affaires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Coût des ventes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Marge brute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Personnel costs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Frais de personnel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Résultat d’exploitation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AS_120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Résultat avant impôt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AS_160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Income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</w:t>
            </w:r>
          </w:p>
        </w:tc>
      </w:tr>
    </w:tbl>
    <w:p>
      <w:pPr>
        <w:pStyle w:val="Heading2"/>
      </w:pPr>
      <w:r>
        <w:t xml:space="preserve">3.5 Table KPI (19 lignes)</w:t>
      </w:r>
    </w:p>
    <w:p>
      <w:pPr>
        <w:spacing w:after="120" w:line="276"/>
      </w:pPr>
      <w:r>
        <w:t xml:space="preserve">KPIs calculés par formules arithmétiques référençant PL_xxx et BFR_xxx. Filtrés par secteur d’activité.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1500"/>
        <w:gridCol w:w="1500"/>
      </w:tblGrid>
      <w:tr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1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15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Unité</w:t>
            </w:r>
          </w:p>
        </w:tc>
        <w:tc>
          <w:tcPr>
            <w:tcW w:type="dxa" w:w="15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Secteurs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Marge commerciale stricte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Distri, Indus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de valeur ajoutée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Poids masse salariale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DSO (créances clients)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DIO (stocks)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Distri, Indus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KPI_090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DPO (fournisseurs)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Levier d’endettement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KPI_130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Couverture d’intérêts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71717a"/>
        </w:rPr>
        <w:t xml:space="preserve">Chaque KPI a des seuils d’alerte (alert_below / alert_above) et un benchmark de référence.</w:t>
      </w:r>
    </w:p>
    <w:p>
      <w:r>
        <w:br w:type="page"/>
      </w:r>
    </w:p>
    <w:p>
      <w:pPr>
        <w:pStyle w:val="Heading1"/>
      </w:pPr>
      <w:r>
        <w:t xml:space="preserve">4. Moteur de calcul (engine.ts)</w:t>
      </w:r>
    </w:p>
    <w:p>
      <w:pPr>
        <w:spacing w:after="120" w:line="276"/>
      </w:pPr>
      <w:r>
        <w:t xml:space="preserve">Le moteur (729 lignes, 6 fonctions exportées) transforme les écritures brutes en résultats structurés. Il est purement déterministe, sans état, et exécuté entièrement côté client (pas de backend compute).</w:t>
      </w:r>
    </w:p>
    <w:p>
      <w:pPr>
        <w:pStyle w:val="Heading2"/>
      </w:pPr>
      <w:r>
        <w:t xml:space="preserve">4.1 Algorithme de matching comptable</w:t>
      </w:r>
    </w:p>
    <w:p>
      <w:pPr>
        <w:spacing w:after="120" w:line="276"/>
      </w:pPr>
      <w:r>
        <w:rPr>
          <w:b/>
          <w:bCs/>
        </w:rPr>
        <w:t xml:space="preserve">Longest-prefix-first matching</w:t>
      </w:r>
      <w:r>
        <w:t xml:space="preserve"> : pour chaque écriture, le moteur parcourt toutes les lignes de mapping et retient celle dont le préfixe PCG est le plus long match. Cela évite les ambiguïtés (ex : 4010 match 401 plutôt que 40). Les exclusions sont vérifiées avant validation du match.</w:t>
      </w:r>
    </w:p>
    <w:p>
      <w:pPr>
        <w:pStyle w:val="Heading2"/>
      </w:pPr>
      <w:r>
        <w:t xml:space="preserve">4.2 Conventions de signe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credit_minus_debit </w:t>
      </w:r>
      <w:r>
        <w:t xml:space="preserve">(produits, classe 7) : montant = Σ crédit - Σ débit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debit_minus_credit </w:t>
      </w:r>
      <w:r>
        <w:t xml:space="preserve">(charges, classe 6) : montant = Σ débit - Σ crédit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formula </w:t>
      </w:r>
      <w:r>
        <w:t xml:space="preserve">(sous-totaux) : évaluation d’expressions type « PL_010 - PL_012 + PL_020 »</w:t>
      </w:r>
    </w:p>
    <w:p>
      <w:pPr>
        <w:pStyle w:val="Heading2"/>
      </w:pPr>
      <w:r>
        <w:t xml:space="preserve">4.3 Pipeline de calcul</w:t>
      </w:r>
    </w:p>
    <w:p>
      <w:pPr>
        <w:spacing w:after="120" w:line="276"/>
      </w:pPr>
      <w:r>
        <w:rPr>
          <w:b/>
          <w:bCs/>
        </w:rPr>
        <w:t xml:space="preserve">computePnl(entries)</w:t>
      </w:r>
    </w:p>
    <w:p>
      <w:pPr>
        <w:pStyle w:val="ListParagraph"/>
        <w:numPr>
          <w:ilvl w:val="0"/>
          <w:numId w:val="2"/>
        </w:numPr>
      </w:pPr>
      <w:r>
        <w:t xml:space="preserve">Filtrage : exclusion journaux AN/RAN, comptes 12x/89x, traitement spécial clôture</w:t>
      </w:r>
    </w:p>
    <w:p>
      <w:pPr>
        <w:pStyle w:val="ListParagraph"/>
        <w:numPr>
          <w:ilvl w:val="0"/>
          <w:numId w:val="2"/>
        </w:numPr>
      </w:pPr>
      <w:r>
        <w:t xml:space="preserve">Classification : chaque écriture associée à sa ligne PL_xxx via longest-prefix</w:t>
      </w:r>
    </w:p>
    <w:p>
      <w:pPr>
        <w:pStyle w:val="ListParagraph"/>
        <w:numPr>
          <w:ilvl w:val="0"/>
          <w:numId w:val="2"/>
        </w:numPr>
      </w:pPr>
      <w:r>
        <w:t xml:space="preserve">Agrégation : somme débit/crédit par ligne + détail par compte</w:t>
      </w:r>
    </w:p>
    <w:p>
      <w:pPr>
        <w:pStyle w:val="ListParagraph"/>
        <w:numPr>
          <w:ilvl w:val="0"/>
          <w:numId w:val="2"/>
        </w:numPr>
      </w:pPr>
      <w:r>
        <w:t xml:space="preserve">Application convention de signe → montant par ligne</w:t>
      </w:r>
    </w:p>
    <w:p>
      <w:pPr>
        <w:pStyle w:val="ListParagraph"/>
        <w:numPr>
          <w:ilvl w:val="0"/>
          <w:numId w:val="2"/>
        </w:numPr>
      </w:pPr>
      <w:r>
        <w:t xml:space="preserve">Évaluation formules sous-totaux (2 passes : comptes puis formules)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computeMonthlyBfr(entries)</w:t>
      </w:r>
    </w:p>
    <w:p>
      <w:pPr>
        <w:pStyle w:val="ListParagraph"/>
        <w:numPr>
          <w:ilvl w:val="0"/>
          <w:numId w:val="2"/>
        </w:numPr>
      </w:pPr>
      <w:r>
        <w:t xml:space="preserve">Intègre TOUTES les écritures (y compris AN/RAN, pour soldes cumulatifs)</w:t>
      </w:r>
    </w:p>
    <w:p>
      <w:pPr>
        <w:pStyle w:val="ListParagraph"/>
        <w:numPr>
          <w:ilvl w:val="0"/>
          <w:numId w:val="2"/>
        </w:numPr>
      </w:pPr>
      <w:r>
        <w:t xml:space="preserve">Pour chaque mois : solde cumulatif = Σ écritures de date ≤ fin de mois</w:t>
      </w:r>
    </w:p>
    <w:p>
      <w:pPr>
        <w:pStyle w:val="ListParagraph"/>
        <w:numPr>
          <w:ilvl w:val="0"/>
          <w:numId w:val="2"/>
        </w:numPr>
      </w:pPr>
      <w:r>
        <w:t xml:space="preserve">Catégorisation : actif opérationnel, passif opérationnel, hors exploitation, trésorerie</w:t>
      </w:r>
    </w:p>
    <w:p>
      <w:pPr>
        <w:pStyle w:val="ListParagraph"/>
        <w:numPr>
          <w:ilvl w:val="0"/>
          <w:numId w:val="2"/>
        </w:numPr>
      </w:pPr>
      <w:r>
        <w:t xml:space="preserve">Sous-totaux mensuels : BFR opérationnel = actifs - passifs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computeAngloSaxonPnl(sigPnl, mapping)</w:t>
      </w:r>
    </w:p>
    <w:p>
      <w:pPr>
        <w:spacing w:after="120" w:line="276"/>
      </w:pPr>
      <w:r>
        <w:t xml:space="preserve">Prend les résultats SIG déjà calculés et les reclassifie via la table AS_xxx. Les source_signs (+1/-1) permettent d’inverser le signe des charges. Les détails et écritures sont fusionnés depuis les lignes PL source.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computeKpis(pnl, bfr, sector)</w:t>
      </w:r>
    </w:p>
    <w:p>
      <w:pPr>
        <w:spacing w:after="120" w:line="276"/>
      </w:pPr>
      <w:r>
        <w:t xml:space="preserve">Construit une Map unifiée {PL_xxx → montant, BFR_xxx → solde dernier mois}. Filtre les KPIs par sector_relevance. Évalue chaque formule via Function constructor (safe : mapping-only, pas d’input utilisateur). Détecte les alertes si valeur hors seuils.</w:t>
      </w:r>
    </w:p>
    <w:p>
      <w:pPr>
        <w:pStyle w:val="Heading2"/>
      </w:pPr>
      <w:r>
        <w:t xml:space="preserve">4.4 Évaluateur de formules</w:t>
      </w:r>
    </w:p>
    <w:p>
      <w:pPr>
        <w:spacing w:after="120" w:line="276"/>
      </w:pPr>
      <w:r>
        <w:t xml:space="preserve">Deux évaluateurs coexistent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evaluateFormula() </w:t>
      </w:r>
      <w:r>
        <w:t xml:space="preserve">(P&amp;L/BFR) : tokenisation regex, arithmétique simple +/-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evaluateKpiFormula() </w:t>
      </w:r>
      <w:r>
        <w:t xml:space="preserve">(KPIs) : remplacement d’IDs puis new Function() pour supporter *, /, parenthèses</w:t>
      </w:r>
    </w:p>
    <w:p>
      <w:pPr>
        <w:spacing w:after="120" w:line="276"/>
      </w:pPr>
      <w:r>
        <w:rPr>
          <w:i/>
          <w:iCs/>
          <w:color w:val="71717a"/>
        </w:rPr>
        <w:t xml:space="preserve">Sécurité : seules les formules du mapping (code source) sont évaluées, jamais d’input utilisateur.</w:t>
      </w:r>
    </w:p>
    <w:p>
      <w:r>
        <w:br w:type="page"/>
      </w:r>
    </w:p>
    <w:p>
      <w:pPr>
        <w:pStyle w:val="Heading1"/>
      </w:pPr>
      <w:r>
        <w:t xml:space="preserve">5. Architecture multi-exercices</w:t>
      </w:r>
    </w:p>
    <w:p>
      <w:pPr>
        <w:spacing w:after="120" w:line="276"/>
      </w:pPr>
      <w:r>
        <w:t xml:space="preserve">Chaque société peut avoir N fichiers FEC (un par exercice fiscal). L’analyse de chaque exercice est indépendante ; la comparaison est effectuée uniquement dans la couche d’affichage.</w:t>
      </w:r>
    </w:p>
    <w:p>
      <w:pPr>
        <w:pStyle w:val="Heading2"/>
      </w:pPr>
      <w:r>
        <w:t xml:space="preserve">5.1 Modèle de données</w:t>
      </w:r>
    </w:p>
    <w:p>
      <w:pPr>
        <w:spacing w:after="12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Company.fecFiles: FecYearFile[]</w:t>
      </w:r>
      <w:r>
        <w:t xml:space="preserve"> — chaque entrée contient l’année fiscale (number), le fichier, les entrées parsées, et l’état d’erreur.</w:t>
      </w:r>
    </w:p>
    <w:p>
      <w:pPr>
        <w:spacing w:after="80"/>
      </w:pPr>
    </w:p>
    <w:p>
      <w:pPr>
        <w:spacing w:after="12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MultiYearAnalysisResult.yearResults: AnalysisResult[]</w:t>
      </w:r>
      <w:r>
        <w:t xml:space="preserve"> — tableau trié chronologiquement (année croissante), chaque AnalysisResult est le même objet qu’en mono-exercice.</w:t>
      </w:r>
    </w:p>
    <w:p>
      <w:pPr>
        <w:pStyle w:val="Heading2"/>
      </w:pPr>
      <w:r>
        <w:t xml:space="preserve">5.2 Flux de traitement</w:t>
      </w:r>
    </w:p>
    <w:p>
      <w:pPr>
        <w:pStyle w:val="ListParagraph"/>
        <w:numPr>
          <w:ilvl w:val="0"/>
          <w:numId w:val="2"/>
        </w:numPr>
      </w:pPr>
      <w:r>
        <w:t xml:space="preserve">L’utilisateur ajoute des slots exercice (FY 2023, FY 2024, FY 2025)</w:t>
      </w:r>
    </w:p>
    <w:p>
      <w:pPr>
        <w:pStyle w:val="ListParagraph"/>
        <w:numPr>
          <w:ilvl w:val="0"/>
          <w:numId w:val="2"/>
        </w:numPr>
      </w:pPr>
      <w:r>
        <w:t xml:space="preserve">Pour chaque slot, il glisse le FEC correspondant</w:t>
      </w:r>
    </w:p>
    <w:p>
      <w:pPr>
        <w:pStyle w:val="ListParagraph"/>
        <w:numPr>
          <w:ilvl w:val="0"/>
          <w:numId w:val="2"/>
        </w:numPr>
      </w:pPr>
      <w:r>
        <w:t xml:space="preserve">L’année est auto-détectée depuis les dates des écritures (modifiable manuellement)</w:t>
      </w:r>
    </w:p>
    <w:p>
      <w:pPr>
        <w:pStyle w:val="ListParagraph"/>
        <w:numPr>
          <w:ilvl w:val="0"/>
          <w:numId w:val="2"/>
        </w:numPr>
      </w:pPr>
      <w:r>
        <w:t xml:space="preserve">analyzeCompanyMultiYear() itère sur les fichiers triés par année</w:t>
      </w:r>
    </w:p>
    <w:p>
      <w:pPr>
        <w:pStyle w:val="ListParagraph"/>
        <w:numPr>
          <w:ilvl w:val="0"/>
          <w:numId w:val="2"/>
        </w:numPr>
      </w:pPr>
      <w:r>
        <w:t xml:space="preserve">Chaque fichier est analysé indépendamment via analyzeEntries()</w:t>
      </w:r>
    </w:p>
    <w:p>
      <w:pPr>
        <w:pStyle w:val="ListParagraph"/>
        <w:numPr>
          <w:ilvl w:val="0"/>
          <w:numId w:val="2"/>
        </w:numPr>
      </w:pPr>
      <w:r>
        <w:t xml:space="preserve">Les résultats sont empaquettés dans un MultiYearAnalysisResult</w:t>
      </w:r>
    </w:p>
    <w:p>
      <w:pPr>
        <w:pStyle w:val="Heading2"/>
      </w:pPr>
      <w:r>
        <w:t xml:space="preserve">5.3 Affichage comparatif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P&amp;L (SIG + M&amp;A) : </w:t>
      </w:r>
      <w:r>
        <w:t xml:space="preserve">colonnes par exercice + colonnes Var € et Var % (N vs N-1)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BFR : </w:t>
      </w:r>
      <w:r>
        <w:t xml:space="preserve">barres groupées par mois (01-12), une couleur par exercice (zinc-300 → zinc-900)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KPIs : </w:t>
      </w:r>
      <w:r>
        <w:t xml:space="preserve">valeur année la plus récente + delta N/N-1 avec flèches TrendingUp/Down</w:t>
      </w:r>
    </w:p>
    <w:p>
      <w:r>
        <w:br w:type="page"/>
      </w:r>
    </w:p>
    <w:p>
      <w:pPr>
        <w:pStyle w:val="Heading1"/>
      </w:pPr>
      <w:r>
        <w:t xml:space="preserve">6. Outputs produits</w:t>
      </w:r>
    </w:p>
    <w:p>
      <w:pPr>
        <w:pStyle w:val="Heading2"/>
      </w:pPr>
      <w:r>
        <w:t xml:space="preserve">6.1 P&amp;L SIG détaillé</w:t>
      </w:r>
    </w:p>
    <w:p>
      <w:pPr>
        <w:spacing w:after="120" w:line="276"/>
      </w:pPr>
      <w:r>
        <w:t xml:space="preserve">Compte de résultat français adapté M&amp;A, structuré en Soldes Intermédiaires de Gestion. 65 lignes avec séparateurs visuels, sous-totaux clés en gras (CA, VA, EBITDA, EBIT, RN), badges de retraitement (Dir., IFRS16, One-off, IC, CIR, CAPEX, CVAE).</w:t>
      </w:r>
    </w:p>
    <w:p>
      <w:pPr>
        <w:spacing w:after="120" w:line="276"/>
      </w:pPr>
      <w:r>
        <w:rPr>
          <w:b/>
          <w:bCs/>
        </w:rPr>
        <w:t xml:space="preserve">Drill-down : </w:t>
      </w:r>
      <w:r>
        <w:t xml:space="preserve">clic sur une ligne de type « account » → modale avec détail par compte comptable (numéro, libellé, débit, crédit, solde).</w:t>
      </w:r>
    </w:p>
    <w:p>
      <w:pPr>
        <w:spacing w:after="120" w:line="276"/>
      </w:pPr>
      <w:r>
        <w:rPr>
          <w:b/>
          <w:bCs/>
        </w:rPr>
        <w:t xml:space="preserve">Contrôle : </w:t>
      </w:r>
      <w:r>
        <w:t xml:space="preserve">vérification automatique RN calculé vs solde 12x. Alerte si écart, avec explication (normal si FEC avant affectation du résultat).</w:t>
      </w:r>
    </w:p>
    <w:p>
      <w:pPr>
        <w:pStyle w:val="Heading2"/>
      </w:pPr>
      <w:r>
        <w:t xml:space="preserve">6.2 P&amp;L M&amp;A anglo-saxon</w:t>
      </w:r>
    </w:p>
    <w:p>
      <w:pPr>
        <w:spacing w:after="120" w:line="276"/>
      </w:pPr>
      <w:r>
        <w:t xml:space="preserve">Reclassification en 17 lignes : Revenue → COGS → Gross Margin → EBITDA → EBIT → EBT → Net Income. Labels bilingues EN/FR. Sous-totaux clés en gras fond gris.</w:t>
      </w:r>
    </w:p>
    <w:p>
      <w:pPr>
        <w:spacing w:after="120" w:line="276"/>
      </w:pPr>
      <w:r>
        <w:rPr>
          <w:b/>
          <w:bCs/>
        </w:rPr>
        <w:t xml:space="preserve">Drill-down avancé : </w:t>
      </w:r>
      <w:r>
        <w:t xml:space="preserve">clic sur n’importe quelle ligne → LedgerModal avec les écritures journal individuelles (date, journal, pièce, compte, libellé, débit, crédit). Permet l’audit complet de chaque agrégat.</w:t>
      </w:r>
    </w:p>
    <w:p>
      <w:pPr>
        <w:pStyle w:val="Heading2"/>
      </w:pPr>
      <w:r>
        <w:t xml:space="preserve">6.3 BFR opérationnel mensuel</w:t>
      </w:r>
    </w:p>
    <w:p>
      <w:pPr>
        <w:spacing w:after="120" w:line="276"/>
      </w:pPr>
      <w:r>
        <w:t xml:space="preserve">Histogramme Recharts avec solde BFR opérationnel par mois. Barres noires (positif) / rouges (négatif). Tooltip détaillé (actif/passif/BFR). Stats synthèse : min/moyen/max.</w:t>
      </w:r>
    </w:p>
    <w:p>
      <w:pPr>
        <w:spacing w:after="120" w:line="276"/>
      </w:pPr>
      <w:r>
        <w:rPr>
          <w:b/>
          <w:bCs/>
        </w:rPr>
        <w:t xml:space="preserve">Drill-down structuré : </w:t>
      </w:r>
      <w:r>
        <w:t xml:space="preserve">clic sur une barre → BfrDetailModal organisé en 4 catégories (Actif circulant op., Passif circulant op., Hors exploitation, Trésorerie). Chaque ligne est dépliable pour voir les comptes sous-jacents.</w:t>
      </w:r>
    </w:p>
    <w:p>
      <w:pPr>
        <w:pStyle w:val="Heading2"/>
      </w:pPr>
      <w:r>
        <w:t xml:space="preserve">6.4 KPIs sectoriels</w:t>
      </w:r>
    </w:p>
    <w:p>
      <w:pPr>
        <w:spacing w:after="120" w:line="276"/>
      </w:pPr>
      <w:r>
        <w:t xml:space="preserve">19 KPIs organisés par catégorie (Profitabilité, Activité/BFR, Endettement, Couverture). Filtrés par secteur (ESN, BTP, Industrie, Software, Distribution). Chaque carte affiche la valeur, le benchmark de référence, et un badge d’alerte si hors seuil.</w:t>
      </w:r>
    </w:p>
    <w:p>
      <w:r>
        <w:br w:type="page"/>
      </w:r>
    </w:p>
    <w:p>
      <w:pPr>
        <w:pStyle w:val="Heading1"/>
      </w:pPr>
      <w:r>
        <w:t xml:space="preserve">7. Inventaire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160"/>
        <w:gridCol w:w="2400"/>
      </w:tblGrid>
      <w:tr>
        <w:tc>
          <w:tcPr>
            <w:tcW w:type="dxa" w:w="36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2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216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1818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lib/fec/types.ts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Définitions TypeScript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lib/fec/parser.ts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 FEC DGFiP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lib/fec/mapping.ts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1 680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(JSON)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tables de mapping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lib/fec/engine.ts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Moteur de calcul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lib/fec/format.ts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Utilitaires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formateurs FR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components/fec/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fichiers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(React)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utilisateur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lib/supabase/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fichiers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Sécurité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NDA enforcement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Total module FEC : ~3 080 lignes de code</w:t>
      </w:r>
      <w:r>
        <w:t xml:space="preserve"> (hors composants UI et shadcn/ui).</w:t>
      </w:r>
    </w:p>
    <w:p>
      <w:pPr>
        <w:pStyle w:val="Heading1"/>
      </w:pPr>
      <w:r>
        <w:t xml:space="preserve">8. Sécurité et conformité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Aucune donnée FEC ne transite par le serveur </w:t>
      </w:r>
      <w:r>
        <w:t xml:space="preserve">: parsing et calcul 100% client-side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 de persistence des FEC </w:t>
      </w:r>
      <w:r>
        <w:t xml:space="preserve">: les données vivent en mémoire React, perdues à la fermeture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RLS Supabase </w:t>
      </w:r>
      <w:r>
        <w:t xml:space="preserve">: chaque utilisateur ne voit que ses propres données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NDA obligatoire </w:t>
      </w:r>
      <w:r>
        <w:t xml:space="preserve">: signature requise avant tout accès, avec traçabilité (IP, user-agent, version)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Formula evaluation </w:t>
      </w:r>
      <w:r>
        <w:t xml:space="preserve">: Function() utilisé uniquement sur des formules du mapping (code source), jamais sur de l’input utilisateur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a1a1aa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1a1aa"/>
        <w:sz w:val="16"/>
        <w:szCs w:val="16"/>
      </w:rPr>
      <w:t xml:space="preserve">Confidentiel — Alvora Partners — Page </w:t>
    </w:r>
    <w:r>
      <w:rPr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a1a1aa"/>
        <w:sz w:val="16"/>
        <w:szCs w:val="16"/>
      </w:rPr>
      <w:t xml:space="preserve">M&amp;A OS Portal — Audit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f3f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2026-03-16T20:55:19.680Z</dcterms:created>
  <dcterms:modified xsi:type="dcterms:W3CDTF">2026-03-16T20:55:19.683Z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