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left"/>
      </w:pPr>
      <w:r>
        <w:rPr>
          <w:rFonts w:ascii="Arial" w:cs="Arial" w:eastAsia="Arial" w:hAnsi="Arial"/>
          <w:b/>
          <w:bCs/>
          <w:color w:val="18181B"/>
          <w:sz w:val="56"/>
          <w:szCs w:val="56"/>
        </w:rPr>
        <w:t xml:space="preserve">M&amp;A OS PORTAL</w:t>
      </w:r>
    </w:p>
    <w:p>
      <w:pPr>
        <w:spacing w:after="80"/>
      </w:pPr>
      <w:r>
        <w:rPr>
          <w:rFonts w:ascii="Arial" w:cs="Arial" w:eastAsia="Arial" w:hAnsi="Arial"/>
          <w:color w:val="71717A"/>
          <w:sz w:val="36"/>
          <w:szCs w:val="36"/>
        </w:rPr>
        <w:t xml:space="preserve">FEC Analyzer Module</w:t>
      </w:r>
    </w:p>
    <w:p>
      <w:pPr>
        <w:pBdr>
          <w:bottom w:val="single" w:color="18181B" w:sz="6" w:space="1"/>
        </w:pBdr>
        <w:spacing w:after="400"/>
      </w:pPr>
    </w:p>
    <w:p>
      <w:pPr>
        <w:spacing w:after="200"/>
      </w:pPr>
    </w:p>
    <w:p>
      <w:r>
        <w:rPr>
          <w:rFonts w:ascii="Arial" w:cs="Arial" w:eastAsia="Arial" w:hAnsi="Arial"/>
          <w:color w:val="27272A"/>
          <w:sz w:val="28"/>
          <w:szCs w:val="28"/>
        </w:rPr>
        <w:t xml:space="preserve">Technical Architecture Document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Version </w:t>
      </w: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1.0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—  March 2026</w:t>
      </w:r>
    </w:p>
    <w:p>
      <w:pPr>
        <w:spacing w:after="600"/>
      </w:pPr>
    </w:p>
    <w:p>
      <w:pPr>
        <w:spacing w:after="12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Prepared for Senior Engineering Review</w:t>
      </w:r>
    </w:p>
    <w:p>
      <w:pPr>
        <w:spacing w:after="12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Stack: Next.js 16 · React 19 · TypeScript 5 · Supabase · Tailwind CSS 4</w:t>
      </w:r>
    </w:p>
    <w:p>
      <w:pPr>
        <w:spacing w:after="12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Deployment: Vercel Edge Network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M&amp;A OS Portal is a SaaS platform designed for investment bankers performing Financial Due Diligence. The first production module, FEC Analyzer, ingests French statutory accounting files (Fichiers des Ecritures Comptables) and produces automated P&amp;L, working capital, and KPI analyses aligned with M&amp;A Transaction Services standards.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built as a monolithic Next.js application with clear separation between the authentication/authorization layer (Supabase), the computation engine (pure TypeScript, zero server dependency), and the presentation layer (React + shadcn/ui). All FEC processing runs client-side for data sovereignty and zero-latency feedback.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Next.js 16.1 (App Router, Turbopack)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React 19 (Server Components + Client Components)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TypeScript 5 (strict mode)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Auth &amp; DB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Supabase (Auth + PostgreSQL + RLS)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UI System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shadcn/ui (New York variant) + Tailwind CSS 4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Recharts (composable SVG)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Vercel (Edge Functions + Static Generation)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FEC Processing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Client-side (Web Worker ready, no server round-trip)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follows Next.js App Router conventions with route groups for access control and feature-scoped component directories.</w:t>
      </w:r>
    </w:p>
    <w:p>
      <w:pPr>
        <w:spacing w:after="100"/>
      </w:pPr>
    </w:p>
    <w:p>
      <w:pPr>
        <w:pStyle w:val="Heading2"/>
      </w:pPr>
      <w:r>
        <w:t xml:space="preserve">2.1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src/app/(auth)/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Login, Register, OAuth callback — public routes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src/app/(protected)/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Dashboard, NDA, OS modules, Profile — guarded routes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src/app/(protected)/os/[slug]/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Dynamic module router (FEC Analyzer, Data Room, etc.)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src/components/auth/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Login/Register form components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Sidebar (260px), Header, Mobile sidebar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src/components/dashboard/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Module cards for OS navigation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src/components/fec/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 FEC Analyzer UI components (9 files)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shadcn/ui primitives (19 components)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src/lib/supabase/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4 Supabase client variants (browser, server, middleware, admin)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src/lib/fec/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Core engine: types, parser, mapping, engine, format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src/types/</w:t>
            </w:r>
          </w:p>
        </w:tc>
        <w:tc>
          <w:tcPr>
            <w:tcW w:type="dxa" w:w="5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Database schema types (Profile, NDA, OsModule)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Key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lib/fec/mapping.ts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~1 550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PCG → P&amp;L / BFR / Debt / KPI mapping tables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lib/fec/engine.ts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~640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Computation: P&amp;L, monthly BFR, KPI evaluation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lib/fec/parser.ts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~220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FEC file parser (UTF-8/Windows-1252, multi-separator)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lib/fec/types.ts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~180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 TypeScript interfaces and union types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lib/fec/format.ts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~100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French number/date formatting utilities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components/fec/pnl-table.tsx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~200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Interactive P&amp;L table with drill-down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components/fec/bfr-chart.tsx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~150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Recharts monthly BFR histogram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components/fec/kpi-cards.tsx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~110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KPI grid with sector filter + alerts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~80</w:t>
            </w:r>
          </w:p>
        </w:tc>
        <w:tc>
          <w:tcPr>
            <w:tcW w:type="dxa" w:w="5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Route protection: Auth → NDA →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Authentication &amp; Authorization</w:t>
      </w:r>
    </w:p>
    <w:p>
      <w:pPr>
        <w:pStyle w:val="Heading2"/>
      </w:pPr>
      <w:r>
        <w:t xml:space="preserve">3.1 Supabase Client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distinct Supabase client instances serve different runtime contexts, each with appropriate security boundaries: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Used</w:t>
            </w:r>
          </w:p>
        </w:tc>
      </w:tr>
      <w:t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Browser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client.ts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 Components (useState, useEffect)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anon (public)</w:t>
            </w:r>
          </w:p>
        </w:tc>
      </w:tr>
      <w:t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server.ts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 Components, Route Handlers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anon + cookies</w:t>
            </w:r>
          </w:p>
        </w:tc>
      </w:tr>
      <w:t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Edge Middleware (token refresh)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anon + cookies</w:t>
            </w:r>
          </w:p>
        </w:tc>
      </w:tr>
      <w:t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admin.ts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Server-only privileged ops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service_role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Route Protection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middleware intercepts every request and enforces a strict access cascade: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routes (/login, /register, /auth/callback) → pass through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Unauthenticated user on protected route → redirect to 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Authenticated user without NDA signature → redirect to /nda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Authenticated + NDA signed → access granted to all (protected)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Authenticated user revisiting /login or /nda → redirect to /dashboard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guarantees that no protected content is ever rendered without both valid authentication and legal consent (NDA).</w:t>
      </w:r>
    </w:p>
    <w:p>
      <w:pPr>
        <w:spacing w:after="200"/>
      </w:pPr>
    </w:p>
    <w:p>
      <w:pPr>
        <w:pStyle w:val="Heading2"/>
      </w:pPr>
      <w:r>
        <w:t xml:space="preserve">3.3 Database Schema (Supabase 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tables with Row-Level Security enabled on all: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Policy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profiles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id (FK auth.users), email, full_name, company, role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Users read/update own row only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nda_signatures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user_id, signed_at, ip_address, document_version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Users read own; insert once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os_modules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slug, name, status, requires_role[], sort_order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 authenticated users 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FEC Analyzer — Computation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is the core intellectual property. It transforms raw DGFiP accounting entries into M&amp;A-grade financial statements. The entire computation runs client-side (no API calls), ensuring data never leaves the browser.</w:t>
      </w:r>
    </w:p>
    <w:p>
      <w:pPr>
        <w:spacing w:after="200"/>
      </w:pPr>
    </w:p>
    <w:p>
      <w:pPr>
        <w:pStyle w:val="Heading2"/>
      </w:pPr>
      <w:r>
        <w:t xml:space="preserve">4.1 Data Flow Pipeline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File (.txt/.csv)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parser.ts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FecEntry[]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engine.ts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AnalysisResult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Parser: auto-detects separator (tab, pipe, semicolon), handles UTF-8 and Windows-1252 fallback, parses French number format (1 234 567,89) and DGFiP date formats (YYYYMMDD, DD/MM/YYYY)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Engine: applies mapping tables to classify every entry, computes P&amp;L + BFR + KPIs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strongly-typed AnalysisResult with drill-down capability to individual accounts</w:t>
      </w:r>
    </w:p>
    <w:p>
      <w:pPr>
        <w:spacing w:after="200"/>
      </w:pPr>
    </w:p>
    <w:p>
      <w:pPr>
        <w:pStyle w:val="Heading2"/>
      </w:pPr>
      <w:r>
        <w:t xml:space="preserve">4.2 Mapping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mapping layer is the bridge between raw PCG (Plan Comptable General) account numbers and M&amp;A financial aggregates. It uses a declarative, table-driven approach: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PNL_MAPPING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62</w:t>
            </w:r>
          </w:p>
        </w:tc>
        <w:tc>
          <w:tcPr>
            <w:tcW w:type="dxa" w:w="5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Full SIG P&amp;L: CA → VA → EBITDA → EBIT → RCAI → RN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BFR_MAPPING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40</w:t>
            </w:r>
          </w:p>
        </w:tc>
        <w:tc>
          <w:tcPr>
            <w:tcW w:type="dxa" w:w="5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Working capital: operating assets/liabilities, non-operating, cash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NET_DEBT_MAPPING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18</w:t>
            </w:r>
          </w:p>
        </w:tc>
        <w:tc>
          <w:tcPr>
            <w:tcW w:type="dxa" w:w="5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Gross debt, cash, net debt (with manual IFRS 16 lines)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KPI_MAPPING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Sector-filtered ratios (profitability, activity, coverage)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Account Matching Algorithm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FEC accounts are 6-8 digits (e.g. 60110000). The engine matches by longest prefix first: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each FEC entry, iterate all mapping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the longest prefix match (6 → 5 → 4 → 3 → 2 digits)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exclusion list (pcg_exclude) to handle exceptions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match wins — most specific prefix takes priority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Unmatched class 6/7 accounts are flagged in unmappedAccounts[]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allows fine-grained overrides: 611 captures all subcontracting, but a hypothetical 6111 prefix could isolate a specific subcategory without changing the general rule.</w:t>
      </w:r>
    </w:p>
    <w:p>
      <w:pPr>
        <w:spacing w:after="200"/>
      </w:pPr>
    </w:p>
    <w:p>
      <w:pPr>
        <w:pStyle w:val="Heading2"/>
      </w:pPr>
      <w:r>
        <w:t xml:space="preserve">4.4 Sign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for correctness. Each mapping line declares how to convert raw Debit/Credit into a signed amount: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credit_minus_debit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Σ(Credit) − Σ(Debit)</w:t>
            </w:r>
          </w:p>
        </w:tc>
        <w:tc>
          <w:tcPr>
            <w:tcW w:type="dxa" w:w="3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Revenue (class 7), provisions (49x, 39x)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debit_minus_credit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Σ(Debit) − Σ(Credit)</w:t>
            </w:r>
          </w:p>
        </w:tc>
        <w:tc>
          <w:tcPr>
            <w:tcW w:type="dxa" w:w="3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Charges (class 6), assets (class 2-5)</w:t>
            </w:r>
          </w:p>
        </w:tc>
      </w:tr>
      <w:t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References other line IDs</w:t>
            </w:r>
          </w:p>
        </w:tc>
        <w:tc>
          <w:tcPr>
            <w:tcW w:type="dxa" w:w="3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Subtotals (CA, EBITDA, BFR, etc.)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Exception: </w:t>
      </w:r>
      <w:r>
        <w:rPr>
          <w:rFonts w:ascii="Arial" w:cs="Arial" w:eastAsia="Arial" w:hAnsi="Arial"/>
          <w:sz w:val="22"/>
          <w:szCs w:val="22"/>
        </w:rPr>
        <w:t xml:space="preserve">Accounts 609, 619, 629 (trade discounts received) are class 6 but function in reverse — they use credit_minus_debit. This is correctly handled in the mapping.</w:t>
      </w:r>
    </w:p>
    <w:p>
      <w:pPr>
        <w:spacing w:after="200"/>
      </w:pPr>
    </w:p>
    <w:p>
      <w:pPr>
        <w:pStyle w:val="Heading2"/>
      </w:pPr>
      <w:r>
        <w:t xml:space="preserve">4.5 Journal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applies different filtering rules for P&amp;L vs BFR computation: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Type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Treatment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BFR Treatment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Opening balances (AN, RAN, ANOUV, OUV)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EXCLUDED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INCLUDED (initial balances)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Closure journals (CLO, SIT, BILAN)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Only class 6/7 kept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Result accounts (12x, 89x)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EXCLUDED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EXCLUDED</w:t>
            </w:r>
          </w:p>
        </w:tc>
      </w:tr>
      <w:tr>
        <w:tc>
          <w:tcPr>
            <w:tcW w:type="dxa" w:w="3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Regularization entries (FNP, FAE, CCA, PCA)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INCLUDED</w:t>
            </w:r>
          </w:p>
        </w:tc>
        <w:tc>
          <w:tcPr>
            <w:tcW w:type="dxa" w:w="27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INCLUDED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4.6 Formula Evaluator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evaluation engines handle different formula complexity levels: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P&amp;L/BFR subtotals: simple additive formulas parsed by regex tokenizer. Syntax: PL_010 - PL_012 + PL_020. Handles +/- operators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KPI formulas: full arithmetic evaluator supporting parentheses, multiplication, division. Syntax: (PL_180 - PL_050) / PL_180 * 100. Uses Function constructor for safe evaluation (inputs are only our mapping IDs, never user data).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Division by zero returns null, displayed as N/A in the UI.</w:t>
      </w:r>
    </w:p>
    <w:p>
      <w:pPr>
        <w:spacing w:after="200"/>
      </w:pPr>
    </w:p>
    <w:p>
      <w:pPr>
        <w:pStyle w:val="Heading2"/>
      </w:pPr>
      <w:r>
        <w:t xml:space="preserve">4.7 Monthly BFR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Working capital is computed as cumulative balances at each month-end: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Identify all months present in the FEC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For each BFR mapping line, classify all entries by line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For each month, sum all Debit/Credit up to and including that 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Apply balance convention (debit_minus_credit or credit_minus_debit)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Evaluate subtotal formulas (operating BFR = assets - liabilities)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closing month BFR must reconcile with the certified balance sheet. This is the validation criterion.</w:t>
      </w:r>
    </w:p>
    <w:p>
      <w:r>
        <w:br w:type="page"/>
      </w:r>
    </w:p>
    <w:p>
      <w:pPr>
        <w:pStyle w:val="Heading1"/>
      </w:pPr>
      <w:r>
        <w:t xml:space="preserve">5. Sector-Aware KPI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company entity is tagged with a sector (ESN, BTP, Industry, Software, Distribution). The KPI engine filters the 19 available ratios based on sector relevance: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960"/>
        <w:gridCol w:w="280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Sectors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Marge EBITDA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Marge EBIT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Taux de sous-traitance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BTP, ESN, Industry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DSO (Days Sales Outstanding)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days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75 days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DPO (Days Payable Outstanding)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days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30 or &gt; 90 days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DIO (Days Inventory Outstanding)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days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Industry, Distribution, BTP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90 days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Capitalisation R&amp;D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Software only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Poids revenus différés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x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Software, ESN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Poids des en-cours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days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BTP, Industry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45 days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Retenues de garantie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BTP only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Productivité salariale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x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ESN, Software, 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1.5x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EBITDA Cash Conversion</w:t>
            </w:r>
          </w:p>
        </w:tc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&lt; 70%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KPI card displays the computed value, the benchmark range, and an alert indicator (amber highlight + warning icon) when thresholds are breached. Holdings automatically hide operational KPIs since they are not meaningful for non-operating entities.</w:t>
      </w:r>
    </w:p>
    <w:p>
      <w:pPr>
        <w:spacing w:after="200"/>
      </w:pPr>
    </w:p>
    <w:p>
      <w:pPr>
        <w:pStyle w:val="Heading1"/>
      </w:pPr>
      <w:r>
        <w:t xml:space="preserve">6. UI Architecture</w:t>
      </w:r>
    </w:p>
    <w:p>
      <w:pPr>
        <w:pStyle w:val="Heading2"/>
      </w:pPr>
      <w:r>
        <w:t xml:space="preserve">6.1 Component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UI is built on shadcn/ui (New York variant, Zinc base color) with 19 primitive components. The design system is strictly monochrome: black/white/zinc palette with no bright colors except contextual status indicators.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Primitives (ui/)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Button, Card, Dialog, Input, Table, Tabs, Sheet, Badge, ...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Headless + Tailwind, fully composable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Sidebar (260px, zinc-950), Header, Mobile sidebar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 Component shell, client interactivity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LoginForm, RegisterForm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 Components, Supabase Auth SDK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FEC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9 components (form, card, dropzone, results, P&amp;L, BFR, KPIs, modal, analyzer)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 Components, local state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FEC Analyzer Workflow (State Machine)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FEC Analyzer component manages a 3-step state machine: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scope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processing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27272A"/>
          <w:sz w:val="20"/>
          <w:szCs w:val="20"/>
        </w:rPr>
        <w:t xml:space="preserve">results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Scope: user adds companies (name, type, sector), uploads FEC files via drag-and-drop. Parser runs immediately on upload, providing instant feedback (entry count, errors).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Processing: engine iterates over valid companies, computing P&amp;L/BFR/KPIs with yield points (setTimeout) between companies to keep UI responsive.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Results: tabbed view per company. Left panel (3/5): interactive P&amp;L table. Right panel (2/5): BFR histogram + KPI cards. Click any P&amp;L line or BFR bar to open a detail modal with account-level drill-down.</w:t>
      </w:r>
    </w:p>
    <w:p>
      <w:pPr>
        <w:spacing w:after="200"/>
      </w:pPr>
    </w:p>
    <w:p>
      <w:pPr>
        <w:pStyle w:val="Heading2"/>
      </w:pPr>
      <w:r>
        <w:t xml:space="preserve">6.3 Company Card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company card collects 3 dimensions before analysis: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Name: free text input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Nature: toggle between Operationnelle and Holding (affects KPI display)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Sector: 5 chips (ESN/Conseil, BTP, Industrie, Software/SaaS, Distribution) — drives KPI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FEC file: drag-and-drop zone with real-time parsing feedback</w:t>
      </w:r>
    </w:p>
    <w:p>
      <w:r>
        <w:br w:type="page"/>
      </w:r>
    </w:p>
    <w:p>
      <w:pPr>
        <w:pStyle w:val="Heading1"/>
      </w:pPr>
      <w:r>
        <w:t xml:space="preserve">7. M&amp;A Restatement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P&amp;L mapping line carries a restatement_flag indicating whether the line requires attention during Quality of Earnings analysis: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Restatement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director_comp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643, 644, 646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TNS director compensation — normalize to market salary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lease_ifrs16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612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Reclassify operating lease to DAP + financial charge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one_off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67x, 77x, 687, 787, 74x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Exceptional items to analyze individually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ic_risk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611, 613/614, 622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Potential inter-company flows to eliminate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cir_reclass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699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Tax credits (CIR/CICE) — non-recurring fiscal impact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capex_proxy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72x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Capitalized production — may inflate EBITDA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cvae_reclass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6352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CVAE sometimes reclassed below EBITDA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flags are displayed as colored badges in the P&amp;L table, giving the analyst immediate visibility on lines requiring manual adjustment in the Quality of Earnings bridge.</w:t>
      </w:r>
    </w:p>
    <w:p>
      <w:pPr>
        <w:spacing w:after="200"/>
      </w:pPr>
    </w:p>
    <w:p>
      <w:pPr>
        <w:pStyle w:val="Heading1"/>
      </w:pPr>
      <w:r>
        <w:t xml:space="preserve">8. Reconciliation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implements automatic reconciliation checks to ensure output matches certified financial statements: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 Control (PL_900): compares computed Net Income (PL_340) against the balance of account 120/129. Any delta triggers a visible warning in the results 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Line (PL_910 / BFR_910): monitors account 471 (suspense accounts). Any non-zero balance flags potential classification errors.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BFR Closing: the final month BFR must match the balance sheet. The cumulative computation method (including opening balances) ensures this by construction.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Unmapped Accounts: any class 6/7 account that does not match a mapping prefix is collected in unmappedAccounts[] and displayed with a count badge in the results header.</w:t>
      </w:r>
    </w:p>
    <w:p>
      <w:pPr>
        <w:spacing w:after="200"/>
      </w:pPr>
    </w:p>
    <w:p>
      <w:pPr>
        <w:pStyle w:val="Heading1"/>
      </w:pPr>
      <w:r>
        <w:t xml:space="preserve">9. Security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Authentication: Supabase Auth with email/password. OAuth callback handled server-side.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Authorization: middleware-level route protection. No client-side routing bypasses.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RLS: Row-Level Security on all 3 database tables. Users can only read/write their own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client: service_role key used only server-side, never exposed to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FEC data: processed entirely client-side. Files never uploaded to any server.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NDA: legal consent gate enforced before any module access.</w:t>
      </w:r>
    </w:p>
    <w:p>
      <w:pPr>
        <w:spacing w:after="200"/>
      </w:pPr>
    </w:p>
    <w:p>
      <w:pPr>
        <w:pStyle w:val="Heading1"/>
      </w:pPr>
      <w:r>
        <w:t xml:space="preserve">10. Key Technical Decisions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Client-side FEC processing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Data sovereignty: accounting data never leaves the browser. Enables offline capability. Eliminates server cost for computation.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Table-driven mapping (JSON)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Separation of concerns: accountants maintain mapping tables, engineers maintain the engine. New lines/KPIs require zero code changes.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Longest-prefix matching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Mirrors PCG hierarchy naturally. Allows overrides at any specificity level without breaking general rules.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Function constructor for KPI formulas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Enables complex arithmetic (parentheses, */+−) without a custom parser. Safe because inputs are strictly our own mapping IDs.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No ORM / no Prisma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Supabase client SDK with RLS is sufficient. Tables are simple. Avoids unnecessary abstraction layer.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shadcn/ui (not Material UI)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Copy-paste ownership model. No version lock-in. Full Tailwind integration. Consistent with monochrome design system.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Recharts (not D3 direct)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Composable React components. Good enough for bar charts. D3 would be overkill for current needs.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App Router (not Pages)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 Components reduce bundle size. Route groups enable clean auth/protected separation. Future-proof for RSC patterns.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16.1.x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Framework (App Router, Turbopack)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19.x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UI runtime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Type system (strict mode)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Database + Auth client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0.x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Server-side cookie management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Utility-first CSS (JIT)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Composable SVG charts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*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Icon library (tree-shakeable)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sonner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*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*</w:t>
            </w:r>
          </w:p>
        </w:tc>
        <w:tc>
          <w:tcPr>
            <w:tcW w:type="dxa" w:w="4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272A"/>
                <w:sz w:val="20"/>
                <w:szCs w:val="20"/>
              </w:rPr>
              <w:t xml:space="preserve">Dark/light mode (future)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unnecessary dependencies. No state management library (React state + props suffice). No form library (native controlled inputs). No CSS-in-JS runtime.</w:t>
      </w:r>
    </w:p>
    <w:p>
      <w:pPr>
        <w:spacing w:after="200"/>
      </w:pPr>
    </w:p>
    <w:p>
      <w:pPr>
        <w:pStyle w:val="Heading1"/>
      </w:pPr>
      <w:r>
        <w:t xml:space="preserve">12.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EBITDA normalization bridge (restatement UI with manual adjustments)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Multi-year comparison (FEC N vs N-1 vs N-2, trend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4: Export to Excel (P&amp;L + BFR + KPIs as formatted .xlsx)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5: Server-side persistence (save analyses to Supabase, share between team members)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6: Data Room module (document management for M&amp;A processes)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7: Comp Table module (comparable company analysis)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717A"/>
        <w:sz w:val="18"/>
        <w:szCs w:val="18"/>
      </w:rPr>
      <w:t xml:space="preserve">Page </w:t>
    </w:r>
    <w:r>
      <w:rPr>
        <w:rFonts w:ascii="Arial" w:cs="Arial" w:eastAsia="Arial" w:hAnsi="Arial"/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71717A"/>
        <w:sz w:val="18"/>
        <w:szCs w:val="18"/>
      </w:rPr>
      <w:t xml:space="preserve">M&amp;A OS Portal</w:t>
    </w:r>
    <w:r>
      <w:rPr>
        <w:rFonts w:ascii="Arial" w:cs="Arial" w:eastAsia="Arial" w:hAnsi="Arial"/>
        <w:color w:val="71717A"/>
        <w:sz w:val="18"/>
        <w:szCs w:val="18"/>
      </w:rPr>
      <w:t xml:space="preserve">	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171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2026-03-12T03:23:31.846Z</dcterms:created>
  <dcterms:modified xsi:type="dcterms:W3CDTF">2026-03-12T03:23:31.847Z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