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Ex2.xml" ContentType="application/vnd.ms-office.chartex+xml"/>
  <Override PartName="/word/charts/style3.xml" ContentType="application/vnd.ms-office.chartstyle+xml"/>
  <Override PartName="/word/charts/colors3.xml" ContentType="application/vnd.ms-office.chartcolorstyle+xml"/>
  <Override PartName="/word/charts/chart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3.xml" ContentType="application/vnd.openxmlformats-officedocument.drawingml.chart+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39D7" w14:textId="57B1E07E" w:rsidR="00A12112" w:rsidRPr="00A12112" w:rsidRDefault="00A12112" w:rsidP="00A12112">
      <w:pPr>
        <w:rPr>
          <w:b/>
          <w:bCs/>
          <w:sz w:val="36"/>
          <w:szCs w:val="36"/>
        </w:rPr>
      </w:pPr>
      <w:r>
        <w:rPr>
          <w:b/>
          <w:bCs/>
        </w:rPr>
        <w:t xml:space="preserve">Titre : </w:t>
      </w:r>
      <w:r w:rsidRPr="00A12112">
        <w:rPr>
          <w:b/>
          <w:bCs/>
          <w:sz w:val="36"/>
          <w:szCs w:val="36"/>
        </w:rPr>
        <w:t>Prévision du cours de l’or</w:t>
      </w:r>
    </w:p>
    <w:p w14:paraId="44DCAB79" w14:textId="2B9374F9" w:rsidR="00A12112" w:rsidRPr="00A12112" w:rsidRDefault="00A12112" w:rsidP="00A12112">
      <w:pPr>
        <w:rPr>
          <w:b/>
          <w:bCs/>
        </w:rPr>
      </w:pPr>
      <w:r w:rsidRPr="00A12112">
        <w:rPr>
          <w:b/>
          <w:bCs/>
        </w:rPr>
        <w:t>Introduction</w:t>
      </w:r>
      <w:r>
        <w:rPr>
          <w:b/>
          <w:bCs/>
        </w:rPr>
        <w:t> :</w:t>
      </w:r>
    </w:p>
    <w:p w14:paraId="60AB151A" w14:textId="29967E0D" w:rsidR="00A12112" w:rsidRPr="00A12112" w:rsidRDefault="00A12112" w:rsidP="006C68C1">
      <w:pPr>
        <w:jc w:val="both"/>
      </w:pPr>
      <w:r w:rsidRPr="00A12112">
        <w:t>Dans un contexte international marqué par une instabilité croissante, caractérisée par des tensions géopolitiques, des déséquilibres économiques et des fluctuations monétaires importantes</w:t>
      </w:r>
      <w:r>
        <w:t>.</w:t>
      </w:r>
      <w:r w:rsidRPr="00A12112">
        <w:t xml:space="preserve"> </w:t>
      </w:r>
      <w:r>
        <w:t>L</w:t>
      </w:r>
      <w:r w:rsidRPr="00A12112">
        <w:t>es marchés des matières premières présentent des dynamiques divergentes. Parmi elles, l’or se distingue par sa résilience et son rôle stratégique en tant qu’actif refuge et réserve de valeur. Sa valorisation constitue un indicateur avancé de la confiance des investisseurs et des acteurs institutionnels dans la stabilité des économies et des systèmes financiers.</w:t>
      </w:r>
    </w:p>
    <w:p w14:paraId="1E555F9D" w14:textId="138AB110" w:rsidR="00A12112" w:rsidRPr="00A12112" w:rsidRDefault="00A12112" w:rsidP="006C68C1">
      <w:pPr>
        <w:jc w:val="both"/>
      </w:pPr>
      <w:r w:rsidRPr="00A12112">
        <w:t xml:space="preserve">La prévision du cours de l’or </w:t>
      </w:r>
      <w:r>
        <w:t xml:space="preserve">a </w:t>
      </w:r>
      <w:r w:rsidRPr="00A12112">
        <w:t>un intérêt particulier pour le Fonds Monétaire International, qui, dans le cadre de sa mission de surveillance économique internationale, peut s’appuyer sur ces analyses pour renforcer la stabilité financière globale. En anticipant l’évolution de ce métal stratégique, le FMI est en mesure d’évaluer la solidité des réserves de change des pays membres, de détecter précocement les risques économiques et financiers, et d’adapter ses recommandations aux gouvernements et aux banques centrales. Ces prévisions permettent également de renforcer la crédibilité et la pertinence des rapports analytiques du FMI, en fournissant des données quantitatives fiables sur un actif dont la valeur reflète directement la perception des marchés face aux incertitudes économiques et géopolitiques.</w:t>
      </w:r>
    </w:p>
    <w:p w14:paraId="4C41C35B" w14:textId="3EAA52CB" w:rsidR="00A12112" w:rsidRPr="00A12112" w:rsidRDefault="00A12112" w:rsidP="006C68C1">
      <w:pPr>
        <w:jc w:val="both"/>
      </w:pPr>
      <w:r w:rsidRPr="00A12112">
        <w:t xml:space="preserve">La présente étude s’inscrit dans cette logique, en se basant sur les données historiques mensuelles </w:t>
      </w:r>
      <w:r>
        <w:t xml:space="preserve">de l’or en dollars </w:t>
      </w:r>
      <w:r w:rsidRPr="00A12112">
        <w:t xml:space="preserve">du </w:t>
      </w:r>
      <w:proofErr w:type="spellStart"/>
      <w:r w:rsidRPr="00A12112">
        <w:t>Primary</w:t>
      </w:r>
      <w:proofErr w:type="spellEnd"/>
      <w:r w:rsidRPr="00A12112">
        <w:t xml:space="preserve"> </w:t>
      </w:r>
      <w:proofErr w:type="spellStart"/>
      <w:r w:rsidRPr="00A12112">
        <w:t>Commodity</w:t>
      </w:r>
      <w:proofErr w:type="spellEnd"/>
      <w:r w:rsidRPr="00A12112">
        <w:t xml:space="preserve"> Price System (PCPS) du FMI. L’objectif est d’identifier les tendances, les cycles saisonniers et les chocs susceptibles d’influencer le cours de l’or, afin de fournir des indications stratégiques et opérationnelles pour la prise de décision. En combinant analyse statistique et compréhension des mécanismes économiques, cette étude vise à produire des prévisions rigoureuses et exploitables, contribuant ainsi à la mission du FMI de soutien à la stabilité financière mondiale.</w:t>
      </w:r>
    </w:p>
    <w:p w14:paraId="2BD34875" w14:textId="3A9DB5BC" w:rsidR="006A47E3" w:rsidRDefault="00A12112">
      <w:pPr>
        <w:rPr>
          <w:b/>
          <w:bCs/>
        </w:rPr>
      </w:pPr>
      <w:r w:rsidRPr="00A12112">
        <w:rPr>
          <w:b/>
          <w:bCs/>
        </w:rPr>
        <w:t>Description des fluctuations de l’or </w:t>
      </w:r>
      <w:r w:rsidR="00922B4C">
        <w:rPr>
          <w:b/>
          <w:bCs/>
        </w:rPr>
        <w:t>20</w:t>
      </w:r>
      <w:r w:rsidR="008C7EF4">
        <w:rPr>
          <w:b/>
          <w:bCs/>
        </w:rPr>
        <w:t>11</w:t>
      </w:r>
      <w:r w:rsidR="00922B4C">
        <w:rPr>
          <w:b/>
          <w:bCs/>
        </w:rPr>
        <w:t xml:space="preserve"> – </w:t>
      </w:r>
      <w:r w:rsidR="00174C06">
        <w:rPr>
          <w:b/>
          <w:bCs/>
        </w:rPr>
        <w:t>2025</w:t>
      </w:r>
      <w:r w:rsidR="00174C06" w:rsidRPr="00A12112">
        <w:rPr>
          <w:b/>
          <w:bCs/>
        </w:rPr>
        <w:t xml:space="preserve"> :</w:t>
      </w:r>
    </w:p>
    <w:p w14:paraId="2E64C3E9" w14:textId="7ACCEA9A" w:rsidR="00FE52D7" w:rsidRPr="00FE52D7" w:rsidRDefault="00FE52D7" w:rsidP="00275A96">
      <w:pPr>
        <w:jc w:val="both"/>
      </w:pPr>
      <w:r w:rsidRPr="00FE52D7">
        <w:t>Dans cette étude, la période 2011-2025 a été retenue car elle inclut la phase post-crise de 2008, marquée par les politiques monétaires expansionnistes, ainsi que des périodes de fortes incertitudes telles que la crise de la dette européenne, la pandémie de Covid-19 et les tensions géopolitiques récentes. Ce cadre offre des conditions économiques contrastées permettant d’analyser les variations du cours de l’or face à des chocs financiers majeurs et aide le FMI à mieux comprendre les mécanismes influençant cet actif stratégique.</w:t>
      </w:r>
    </w:p>
    <w:p w14:paraId="13CE0B1E" w14:textId="77777777" w:rsidR="009C4627" w:rsidRDefault="009C4627" w:rsidP="006C68C1">
      <w:pPr>
        <w:jc w:val="both"/>
        <w:rPr>
          <w:b/>
          <w:bCs/>
        </w:rPr>
      </w:pPr>
    </w:p>
    <w:p w14:paraId="5E9D76AF" w14:textId="77777777" w:rsidR="009C4627" w:rsidRDefault="009C4627" w:rsidP="006C68C1">
      <w:pPr>
        <w:jc w:val="both"/>
        <w:rPr>
          <w:b/>
          <w:bCs/>
        </w:rPr>
      </w:pPr>
    </w:p>
    <w:p w14:paraId="58AC8382" w14:textId="77777777" w:rsidR="009C4627" w:rsidRDefault="009C4627" w:rsidP="006C68C1">
      <w:pPr>
        <w:jc w:val="both"/>
        <w:rPr>
          <w:b/>
          <w:bCs/>
        </w:rPr>
      </w:pPr>
    </w:p>
    <w:p w14:paraId="7B231F04" w14:textId="77777777" w:rsidR="009C4627" w:rsidRDefault="009C4627" w:rsidP="006C68C1">
      <w:pPr>
        <w:jc w:val="both"/>
        <w:rPr>
          <w:b/>
          <w:bCs/>
        </w:rPr>
      </w:pPr>
    </w:p>
    <w:p w14:paraId="32EC57A4" w14:textId="77777777" w:rsidR="009C4627" w:rsidRDefault="009C4627" w:rsidP="006C68C1">
      <w:pPr>
        <w:jc w:val="both"/>
        <w:rPr>
          <w:b/>
          <w:bCs/>
        </w:rPr>
      </w:pPr>
    </w:p>
    <w:p w14:paraId="627E92C8" w14:textId="77777777" w:rsidR="009C4627" w:rsidRDefault="009C4627" w:rsidP="006C68C1">
      <w:pPr>
        <w:jc w:val="both"/>
        <w:rPr>
          <w:b/>
          <w:bCs/>
        </w:rPr>
      </w:pPr>
    </w:p>
    <w:p w14:paraId="0A582210" w14:textId="77777777" w:rsidR="009C4627" w:rsidRDefault="009C4627" w:rsidP="006C68C1">
      <w:pPr>
        <w:jc w:val="both"/>
        <w:rPr>
          <w:b/>
          <w:bCs/>
        </w:rPr>
      </w:pPr>
    </w:p>
    <w:p w14:paraId="29DC68D6" w14:textId="77777777" w:rsidR="009C4627" w:rsidRDefault="009C4627" w:rsidP="006C68C1">
      <w:pPr>
        <w:jc w:val="both"/>
        <w:rPr>
          <w:b/>
          <w:bCs/>
        </w:rPr>
      </w:pPr>
    </w:p>
    <w:p w14:paraId="77D76077" w14:textId="32C0BA88" w:rsidR="00AD603C" w:rsidRDefault="00F60EDA" w:rsidP="006C68C1">
      <w:pPr>
        <w:jc w:val="both"/>
        <w:rPr>
          <w:b/>
          <w:bCs/>
        </w:rPr>
      </w:pPr>
      <w:r w:rsidRPr="00394189">
        <w:rPr>
          <w:b/>
          <w:bCs/>
        </w:rPr>
        <w:lastRenderedPageBreak/>
        <w:t xml:space="preserve">Un </w:t>
      </w:r>
      <w:r w:rsidR="00394189" w:rsidRPr="00394189">
        <w:rPr>
          <w:b/>
          <w:bCs/>
        </w:rPr>
        <w:t xml:space="preserve">taux de </w:t>
      </w:r>
      <w:r w:rsidRPr="00394189">
        <w:rPr>
          <w:b/>
          <w:bCs/>
        </w:rPr>
        <w:t>croissance de plus de</w:t>
      </w:r>
      <w:r w:rsidR="00394189" w:rsidRPr="00394189">
        <w:rPr>
          <w:b/>
          <w:bCs/>
        </w:rPr>
        <w:t xml:space="preserve"> </w:t>
      </w:r>
      <w:r w:rsidR="009D7A0B">
        <w:rPr>
          <w:b/>
          <w:bCs/>
        </w:rPr>
        <w:t>1</w:t>
      </w:r>
      <w:r w:rsidR="0021724E">
        <w:rPr>
          <w:b/>
          <w:bCs/>
        </w:rPr>
        <w:t>10</w:t>
      </w:r>
      <w:r w:rsidR="00394189" w:rsidRPr="00394189">
        <w:rPr>
          <w:b/>
          <w:bCs/>
        </w:rPr>
        <w:t xml:space="preserve"> % entre 20</w:t>
      </w:r>
      <w:r w:rsidR="0021724E">
        <w:rPr>
          <w:b/>
          <w:bCs/>
        </w:rPr>
        <w:t>11</w:t>
      </w:r>
      <w:r w:rsidR="00394189" w:rsidRPr="00394189">
        <w:rPr>
          <w:b/>
          <w:bCs/>
        </w:rPr>
        <w:t xml:space="preserve"> </w:t>
      </w:r>
      <w:r w:rsidR="00553090">
        <w:rPr>
          <w:b/>
          <w:bCs/>
        </w:rPr>
        <w:t>–</w:t>
      </w:r>
      <w:r w:rsidR="00394189" w:rsidRPr="00394189">
        <w:rPr>
          <w:b/>
          <w:bCs/>
        </w:rPr>
        <w:t xml:space="preserve"> 20</w:t>
      </w:r>
      <w:r w:rsidR="0021724E">
        <w:rPr>
          <w:b/>
          <w:bCs/>
        </w:rPr>
        <w:t xml:space="preserve">25 : </w:t>
      </w:r>
    </w:p>
    <w:p w14:paraId="3BAA5D3F" w14:textId="5B5EBE2A" w:rsidR="00877829" w:rsidRDefault="00406C7A" w:rsidP="007F7971">
      <w:pPr>
        <w:jc w:val="both"/>
      </w:pPr>
      <w:r>
        <w:rPr>
          <w:noProof/>
        </w:rPr>
        <w:drawing>
          <wp:anchor distT="0" distB="0" distL="114300" distR="114300" simplePos="0" relativeHeight="251658240" behindDoc="0" locked="0" layoutInCell="1" allowOverlap="1" wp14:anchorId="60252B6C" wp14:editId="55125F5E">
            <wp:simplePos x="0" y="0"/>
            <wp:positionH relativeFrom="margin">
              <wp:align>left</wp:align>
            </wp:positionH>
            <wp:positionV relativeFrom="paragraph">
              <wp:posOffset>57775</wp:posOffset>
            </wp:positionV>
            <wp:extent cx="4036695" cy="2311400"/>
            <wp:effectExtent l="0" t="0" r="1905" b="12700"/>
            <wp:wrapSquare wrapText="bothSides"/>
            <wp:docPr id="879094724" name="Graphique 1">
              <a:extLst xmlns:a="http://schemas.openxmlformats.org/drawingml/2006/main">
                <a:ext uri="{FF2B5EF4-FFF2-40B4-BE49-F238E27FC236}">
                  <a16:creationId xmlns:a16="http://schemas.microsoft.com/office/drawing/2014/main" id="{4D7401D1-76D8-13AC-F6DA-19960E29D0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14:sizeRelH relativeFrom="margin">
              <wp14:pctWidth>0</wp14:pctWidth>
            </wp14:sizeRelH>
            <wp14:sizeRelV relativeFrom="margin">
              <wp14:pctHeight>0</wp14:pctHeight>
            </wp14:sizeRelV>
          </wp:anchor>
        </w:drawing>
      </w:r>
      <w:r w:rsidR="007F7971" w:rsidRPr="007F7971">
        <w:t>Entre 2011 et 2025, le prix mensuel moyen de l’or a fortement augmenté, avec un taux de variation total de +109,62 %, indiquant qu’il a plus que doublé sur la période. La moyenne la plus basse est enregistrée en 2015 (1 160,11 $), tandis que la plus élevée apparaît en 2025 (3 288,06 $). Cette hausse n’est pas continue : des baisses marquées se produisent en 2013, 2014 et 2015, avant une reprise progressive menant à de fortes croissances en 2020, 2024 et 2025. En moyenne, le prix mensuel s’élève à 1 682,05 $, avec un écart-type de 537,62 $ et un coefficient de variation de 0,32, révélant une variabilité modérée du prix de l’or au cours de la période.</w:t>
      </w:r>
    </w:p>
    <w:p w14:paraId="1AA8E28E" w14:textId="6215068D" w:rsidR="00283FBE" w:rsidRDefault="00283FBE" w:rsidP="007F7971">
      <w:pPr>
        <w:jc w:val="both"/>
        <w:rPr>
          <w:b/>
          <w:bCs/>
        </w:rPr>
      </w:pPr>
      <w:r w:rsidRPr="00283FBE">
        <w:rPr>
          <w:b/>
          <w:bCs/>
        </w:rPr>
        <w:t xml:space="preserve">Évolution </w:t>
      </w:r>
      <w:r>
        <w:rPr>
          <w:b/>
          <w:bCs/>
        </w:rPr>
        <w:t xml:space="preserve">du prix </w:t>
      </w:r>
      <w:r w:rsidR="004A1478">
        <w:rPr>
          <w:b/>
          <w:bCs/>
        </w:rPr>
        <w:t>de L’Or</w:t>
      </w:r>
      <w:r w:rsidRPr="00283FBE">
        <w:rPr>
          <w:b/>
          <w:bCs/>
        </w:rPr>
        <w:t xml:space="preserve"> : Analyse des Médianes et Variabilité Interannuelle</w:t>
      </w:r>
      <w:r w:rsidRPr="00283FBE">
        <w:rPr>
          <w:b/>
          <w:bCs/>
        </w:rPr>
        <w:t> </w:t>
      </w:r>
    </w:p>
    <w:p w14:paraId="3723D3F1" w14:textId="0D3BAFDE" w:rsidR="009E4E0A" w:rsidRDefault="002E36DB" w:rsidP="007F7971">
      <w:pPr>
        <w:jc w:val="both"/>
        <w:rPr>
          <w:b/>
          <w:bCs/>
        </w:rPr>
      </w:pPr>
      <w:r>
        <w:rPr>
          <w:noProof/>
        </w:rPr>
        <mc:AlternateContent>
          <mc:Choice Requires="cx1">
            <w:drawing>
              <wp:inline distT="0" distB="0" distL="0" distR="0" wp14:anchorId="45D69EC1" wp14:editId="41B696EF">
                <wp:extent cx="5764696" cy="3204376"/>
                <wp:effectExtent l="0" t="0" r="7620" b="15240"/>
                <wp:docPr id="627207455" name="Graphique 1">
                  <a:extLst xmlns:a="http://schemas.openxmlformats.org/drawingml/2006/main">
                    <a:ext uri="{FF2B5EF4-FFF2-40B4-BE49-F238E27FC236}">
                      <a16:creationId xmlns:a16="http://schemas.microsoft.com/office/drawing/2014/main" id="{F3993C71-5042-447E-0927-F91F67179A5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45D69EC1" wp14:editId="41B696EF">
                <wp:extent cx="5764696" cy="3204376"/>
                <wp:effectExtent l="0" t="0" r="7620" b="15240"/>
                <wp:docPr id="627207455" name="Graphique 1">
                  <a:extLst xmlns:a="http://schemas.openxmlformats.org/drawingml/2006/main">
                    <a:ext uri="{FF2B5EF4-FFF2-40B4-BE49-F238E27FC236}">
                      <a16:creationId xmlns:a16="http://schemas.microsoft.com/office/drawing/2014/main" id="{F3993C71-5042-447E-0927-F91F67179A5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27207455" name="Graphique 1">
                          <a:extLst>
                            <a:ext uri="{FF2B5EF4-FFF2-40B4-BE49-F238E27FC236}">
                              <a16:creationId xmlns:a16="http://schemas.microsoft.com/office/drawing/2014/main" id="{F3993C71-5042-447E-0927-F91F67179A5F}"/>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5764530" cy="3204210"/>
                        </a:xfrm>
                        <a:prstGeom prst="rect">
                          <a:avLst/>
                        </a:prstGeom>
                      </pic:spPr>
                    </pic:pic>
                  </a:graphicData>
                </a:graphic>
              </wp:inline>
            </w:drawing>
          </mc:Fallback>
        </mc:AlternateContent>
      </w:r>
    </w:p>
    <w:p w14:paraId="447196E3" w14:textId="77690B97" w:rsidR="00553090" w:rsidRDefault="006F04A1" w:rsidP="006C68C1">
      <w:pPr>
        <w:jc w:val="both"/>
      </w:pPr>
      <w:r w:rsidRPr="006F04A1">
        <w:t>Les boîtes à moustaches montrent que le prix de l’or connaît à la fois une tendance haussière sur la période 2011-2025 et une variation saisonnière marquée. Les mois du printemps et de l’été (avril à août) présentent des prix plus faibles et plus stables, tandis que les mois d’automne et de fin d’année (septembre à décembre) affichent des niveaux plus élevés et une plus forte volatilité. Cette saisonnalité s’accentue particulièrement après 2020, avec l’apparition de valeurs atypiques liées à des hausses exceptionnelles des prix, comme 3666,52 en septembre 2025 ou 4055,17 en octobre 2025. Le graphique met donc en évidence une hausse globale accompagnée de fluctuations saisonnières régulières</w:t>
      </w:r>
    </w:p>
    <w:p w14:paraId="50607A42" w14:textId="14DC2640" w:rsidR="00CB356C" w:rsidRDefault="00004F1F" w:rsidP="006C68C1">
      <w:pPr>
        <w:jc w:val="both"/>
      </w:pPr>
      <w:r>
        <w:rPr>
          <w:noProof/>
        </w:rPr>
        <w:lastRenderedPageBreak/>
        <mc:AlternateContent>
          <mc:Choice Requires="cx1">
            <w:drawing>
              <wp:inline distT="0" distB="0" distL="0" distR="0" wp14:anchorId="5CB41953" wp14:editId="35350B05">
                <wp:extent cx="5731510" cy="3697357"/>
                <wp:effectExtent l="0" t="0" r="2540" b="17780"/>
                <wp:docPr id="1490053918" name="Graphique 1">
                  <a:extLst xmlns:a="http://schemas.openxmlformats.org/drawingml/2006/main">
                    <a:ext uri="{FF2B5EF4-FFF2-40B4-BE49-F238E27FC236}">
                      <a16:creationId xmlns:a16="http://schemas.microsoft.com/office/drawing/2014/main" id="{BD5C7325-DD8E-4394-8F2C-E53CA878181E}"/>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
                  </a:graphicData>
                </a:graphic>
              </wp:inline>
            </w:drawing>
          </mc:Choice>
          <mc:Fallback>
            <w:drawing>
              <wp:inline distT="0" distB="0" distL="0" distR="0" wp14:anchorId="5CB41953" wp14:editId="35350B05">
                <wp:extent cx="5731510" cy="3697357"/>
                <wp:effectExtent l="0" t="0" r="2540" b="17780"/>
                <wp:docPr id="1490053918" name="Graphique 1">
                  <a:extLst xmlns:a="http://schemas.openxmlformats.org/drawingml/2006/main">
                    <a:ext uri="{FF2B5EF4-FFF2-40B4-BE49-F238E27FC236}">
                      <a16:creationId xmlns:a16="http://schemas.microsoft.com/office/drawing/2014/main" id="{BD5C7325-DD8E-4394-8F2C-E53CA878181E}"/>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90053918" name="Graphique 1">
                          <a:extLst>
                            <a:ext uri="{FF2B5EF4-FFF2-40B4-BE49-F238E27FC236}">
                              <a16:creationId xmlns:a16="http://schemas.microsoft.com/office/drawing/2014/main" id="{BD5C7325-DD8E-4394-8F2C-E53CA878181E}"/>
                            </a:ext>
                          </a:extLst>
                        </pic:cNvPr>
                        <pic:cNvPicPr>
                          <a:picLocks noGrp="1" noRot="1" noChangeAspect="1" noMove="1" noResize="1" noEditPoints="1" noAdjustHandles="1" noChangeArrowheads="1" noChangeShapeType="1"/>
                        </pic:cNvPicPr>
                      </pic:nvPicPr>
                      <pic:blipFill>
                        <a:blip r:embed="rId8"/>
                        <a:stretch>
                          <a:fillRect/>
                        </a:stretch>
                      </pic:blipFill>
                      <pic:spPr>
                        <a:xfrm>
                          <a:off x="0" y="0"/>
                          <a:ext cx="5731510" cy="3696970"/>
                        </a:xfrm>
                        <a:prstGeom prst="rect">
                          <a:avLst/>
                        </a:prstGeom>
                      </pic:spPr>
                    </pic:pic>
                  </a:graphicData>
                </a:graphic>
              </wp:inline>
            </w:drawing>
          </mc:Fallback>
        </mc:AlternateContent>
      </w:r>
    </w:p>
    <w:p w14:paraId="527EE33E" w14:textId="48FAD6E1" w:rsidR="00553090" w:rsidRDefault="007B24D1" w:rsidP="006C68C1">
      <w:pPr>
        <w:jc w:val="both"/>
      </w:pPr>
      <w:r w:rsidRPr="007B24D1">
        <w:t>Une analyse des médianes confirme la première observation, à savoir une forte croissance du prix de l’or sur l’ensemble de la période, avec cependant quelques baisses et stagnations : 2013 et 2015 affichent des prix inférieurs ou stables par rapport à l’année précédente. L’écart interquartile (IQR) des prix mensuels varie d’une année à l’autre : il est relativement faible entre 2014 et 2016, indiquant une faible dispersion des prix, mais devient plus large dans les années récentes (2020</w:t>
      </w:r>
      <w:r w:rsidRPr="007B24D1">
        <w:noBreakHyphen/>
        <w:t>2025), témoignant d’une variabilité accrue. Par ailleurs, la médiane suit une tendance haussière générale, reflétant la hausse globale du prix de l’or. Cependant, sa position dans les boîtes montre parfois une asymétrie : elle est souvent centrée lors des années stables (2014</w:t>
      </w:r>
      <w:r w:rsidRPr="007B24D1">
        <w:noBreakHyphen/>
        <w:t>2016), mais décalée dans les années de forte variabilité ou de pics ponctuels (ex. 2025). Cela souligne une progression globale avec des fluctuations saisonnières importantes : des creux sont souvent observés au printemps (mars</w:t>
      </w:r>
      <w:r w:rsidRPr="007B24D1">
        <w:noBreakHyphen/>
        <w:t>avril) et en été (juin</w:t>
      </w:r>
      <w:r w:rsidRPr="007B24D1">
        <w:noBreakHyphen/>
        <w:t>juillet), tandis que des pics apparaissent à l’automne et en fin d’année (août</w:t>
      </w:r>
      <w:r w:rsidRPr="007B24D1">
        <w:noBreakHyphen/>
        <w:t>décembre). Des points atypiques se distinguent : août 2011 (1755,81 $) et octobre 2025 (4055,17 $) représentent des hausses exceptionnelles, tandis que novembre 2015 (1085,70 $) est particulièrement bas. La croissance globale du prix de l’or semble soutenue, avec des accélérations notables dans certaines années récentes, mais toujours accompagnée de variations saisonnières marquées et de fluctuations ponctuelles importantes.</w:t>
      </w:r>
    </w:p>
    <w:p w14:paraId="6F59273D" w14:textId="2FFAEC5A" w:rsidR="005D6C98" w:rsidRDefault="005E397C" w:rsidP="006C68C1">
      <w:pPr>
        <w:jc w:val="both"/>
        <w:rPr>
          <w:b/>
          <w:bCs/>
        </w:rPr>
      </w:pPr>
      <w:r w:rsidRPr="00AF0EF9">
        <w:rPr>
          <w:b/>
          <w:bCs/>
        </w:rPr>
        <w:drawing>
          <wp:anchor distT="0" distB="0" distL="114300" distR="114300" simplePos="0" relativeHeight="251660288" behindDoc="1" locked="0" layoutInCell="1" allowOverlap="1" wp14:anchorId="0F735A4D" wp14:editId="1FFBD0BC">
            <wp:simplePos x="0" y="0"/>
            <wp:positionH relativeFrom="margin">
              <wp:align>center</wp:align>
            </wp:positionH>
            <wp:positionV relativeFrom="paragraph">
              <wp:posOffset>265430</wp:posOffset>
            </wp:positionV>
            <wp:extent cx="6663690" cy="1718945"/>
            <wp:effectExtent l="0" t="0" r="3810" b="0"/>
            <wp:wrapTight wrapText="bothSides">
              <wp:wrapPolygon edited="0">
                <wp:start x="0" y="0"/>
                <wp:lineTo x="0" y="21305"/>
                <wp:lineTo x="21551" y="21305"/>
                <wp:lineTo x="21551" y="0"/>
                <wp:lineTo x="0" y="0"/>
              </wp:wrapPolygon>
            </wp:wrapTight>
            <wp:docPr id="18270886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88675" name=""/>
                    <pic:cNvPicPr/>
                  </pic:nvPicPr>
                  <pic:blipFill>
                    <a:blip r:embed="rId9">
                      <a:extLst>
                        <a:ext uri="{28A0092B-C50C-407E-A947-70E740481C1C}">
                          <a14:useLocalDpi xmlns:a14="http://schemas.microsoft.com/office/drawing/2010/main" val="0"/>
                        </a:ext>
                      </a:extLst>
                    </a:blip>
                    <a:stretch>
                      <a:fillRect/>
                    </a:stretch>
                  </pic:blipFill>
                  <pic:spPr>
                    <a:xfrm>
                      <a:off x="0" y="0"/>
                      <a:ext cx="6663690" cy="1718945"/>
                    </a:xfrm>
                    <a:prstGeom prst="rect">
                      <a:avLst/>
                    </a:prstGeom>
                  </pic:spPr>
                </pic:pic>
              </a:graphicData>
            </a:graphic>
            <wp14:sizeRelH relativeFrom="margin">
              <wp14:pctWidth>0</wp14:pctWidth>
            </wp14:sizeRelH>
          </wp:anchor>
        </w:drawing>
      </w:r>
      <w:r w:rsidR="005D6C98" w:rsidRPr="005D6C98">
        <w:rPr>
          <w:b/>
          <w:bCs/>
        </w:rPr>
        <w:t>Analyse Saisonnière et décomposition Multiplicatif de</w:t>
      </w:r>
      <w:r w:rsidR="005D6C98">
        <w:rPr>
          <w:b/>
          <w:bCs/>
        </w:rPr>
        <w:t xml:space="preserve"> l’Or :</w:t>
      </w:r>
    </w:p>
    <w:p w14:paraId="07B2C79B" w14:textId="59E7050B" w:rsidR="009439ED" w:rsidRDefault="001312F5" w:rsidP="006C68C1">
      <w:pPr>
        <w:jc w:val="both"/>
      </w:pPr>
      <w:r>
        <w:rPr>
          <w:noProof/>
        </w:rPr>
        <w:lastRenderedPageBreak/>
        <w:drawing>
          <wp:anchor distT="0" distB="0" distL="114300" distR="114300" simplePos="0" relativeHeight="251661312" behindDoc="1" locked="0" layoutInCell="1" allowOverlap="1" wp14:anchorId="69F5AFE3" wp14:editId="5E81FC1F">
            <wp:simplePos x="0" y="0"/>
            <wp:positionH relativeFrom="page">
              <wp:posOffset>3895725</wp:posOffset>
            </wp:positionH>
            <wp:positionV relativeFrom="paragraph">
              <wp:posOffset>1041400</wp:posOffset>
            </wp:positionV>
            <wp:extent cx="3561715" cy="2734310"/>
            <wp:effectExtent l="0" t="0" r="635" b="8890"/>
            <wp:wrapTight wrapText="bothSides">
              <wp:wrapPolygon edited="0">
                <wp:start x="0" y="0"/>
                <wp:lineTo x="0" y="21520"/>
                <wp:lineTo x="21488" y="21520"/>
                <wp:lineTo x="21488" y="0"/>
                <wp:lineTo x="0" y="0"/>
              </wp:wrapPolygon>
            </wp:wrapTight>
            <wp:docPr id="2023004857" name="Graphique 1">
              <a:extLst xmlns:a="http://schemas.openxmlformats.org/drawingml/2006/main">
                <a:ext uri="{FF2B5EF4-FFF2-40B4-BE49-F238E27FC236}">
                  <a16:creationId xmlns:a16="http://schemas.microsoft.com/office/drawing/2014/main" id="{6CDDB2F7-4299-49E4-AE69-C0CBBF1456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5AE6CDEC" wp14:editId="0B56F660">
            <wp:simplePos x="0" y="0"/>
            <wp:positionH relativeFrom="column">
              <wp:posOffset>-811530</wp:posOffset>
            </wp:positionH>
            <wp:positionV relativeFrom="paragraph">
              <wp:posOffset>1057275</wp:posOffset>
            </wp:positionV>
            <wp:extent cx="3707765" cy="2718435"/>
            <wp:effectExtent l="0" t="0" r="6985" b="5715"/>
            <wp:wrapTight wrapText="bothSides">
              <wp:wrapPolygon edited="0">
                <wp:start x="0" y="0"/>
                <wp:lineTo x="0" y="21494"/>
                <wp:lineTo x="21530" y="21494"/>
                <wp:lineTo x="21530" y="0"/>
                <wp:lineTo x="0" y="0"/>
              </wp:wrapPolygon>
            </wp:wrapTight>
            <wp:docPr id="1690744124" name="Graphique 1">
              <a:extLst xmlns:a="http://schemas.openxmlformats.org/drawingml/2006/main">
                <a:ext uri="{FF2B5EF4-FFF2-40B4-BE49-F238E27FC236}">
                  <a16:creationId xmlns:a16="http://schemas.microsoft.com/office/drawing/2014/main" id="{ABDAA007-0D77-4E7C-B07E-51743EEEF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009439ED" w:rsidRPr="009439ED">
        <w:t xml:space="preserve">D’après la méthode de </w:t>
      </w:r>
      <w:proofErr w:type="spellStart"/>
      <w:r w:rsidR="009439ED" w:rsidRPr="009439ED">
        <w:t>Bays-Ballot</w:t>
      </w:r>
      <w:proofErr w:type="spellEnd"/>
      <w:r w:rsidR="009439ED" w:rsidRPr="009439ED">
        <w:t>, on observe une composante saisonnière marquée dans le prix de l’or sur la période 2011</w:t>
      </w:r>
      <w:r w:rsidR="009439ED" w:rsidRPr="009439ED">
        <w:noBreakHyphen/>
        <w:t>2025. En effet, les 25 % des prix les plus élevés sont souvent enregistrés durant les mois d’août, septembre et octobre, avec des pics exceptionnels en août 2011 (1755,81 $) et octobre 2025 (4055,17 $). Ces observations confirment que les fluctuations saisonnières sont proportionnelles au niveau de la tendance générale, suggérant une décomposition multiplicative.</w:t>
      </w:r>
    </w:p>
    <w:p w14:paraId="2EAAF93C" w14:textId="28368CF1" w:rsidR="00AF0EF9" w:rsidRPr="002545E5" w:rsidRDefault="002545E5" w:rsidP="006C68C1">
      <w:pPr>
        <w:jc w:val="both"/>
      </w:pPr>
      <w:r w:rsidRPr="002545E5">
        <w:t>D’après la méthode des bandes, les droites virtuelles passant par les maximas et minimas du prix de l’or forment un entonnoir s’élargissant au fil du temps, ce qui est confirmé par un coefficient de corrélation de 0,72 calculé entre les écarts-types et les moyennes annuelles. Cette observation corrobore les analyses précédentes : la variabilité des prix augmente avec la tendance générale, tout en conservant des fluctuations saisonnières marquées et quelques valeurs atypiques. Ces éléments indiquent que la décomposition multiplicative reste pertinente pour modéliser le prix de l’or sur la période 2011-2025.</w:t>
      </w:r>
    </w:p>
    <w:p w14:paraId="0D671CEF" w14:textId="6E36564C" w:rsidR="00553090" w:rsidRDefault="006D68ED" w:rsidP="00F477F8">
      <w:pPr>
        <w:tabs>
          <w:tab w:val="left" w:pos="7350"/>
        </w:tabs>
        <w:jc w:val="both"/>
        <w:rPr>
          <w:b/>
          <w:bCs/>
        </w:rPr>
      </w:pPr>
      <w:r>
        <w:rPr>
          <w:b/>
          <w:bCs/>
        </w:rPr>
        <w:t xml:space="preserve">Modélisation </w:t>
      </w:r>
      <w:r w:rsidR="00F477F8" w:rsidRPr="005D6C98">
        <w:rPr>
          <w:b/>
          <w:bCs/>
        </w:rPr>
        <w:t>de</w:t>
      </w:r>
      <w:r w:rsidR="00F477F8">
        <w:rPr>
          <w:b/>
          <w:bCs/>
        </w:rPr>
        <w:t xml:space="preserve"> l’Or :</w:t>
      </w:r>
    </w:p>
    <w:p w14:paraId="041EC8B5" w14:textId="35999573" w:rsidR="00D012FD" w:rsidRDefault="00B62E87" w:rsidP="006F1B23">
      <w:pPr>
        <w:jc w:val="both"/>
      </w:pPr>
      <w:r w:rsidRPr="005C1C02">
        <w:drawing>
          <wp:anchor distT="0" distB="0" distL="114300" distR="114300" simplePos="0" relativeHeight="251663360" behindDoc="1" locked="0" layoutInCell="1" allowOverlap="1" wp14:anchorId="7B8E7BCA" wp14:editId="280D0E91">
            <wp:simplePos x="0" y="0"/>
            <wp:positionH relativeFrom="column">
              <wp:posOffset>23495</wp:posOffset>
            </wp:positionH>
            <wp:positionV relativeFrom="paragraph">
              <wp:posOffset>38100</wp:posOffset>
            </wp:positionV>
            <wp:extent cx="4188460" cy="1807210"/>
            <wp:effectExtent l="0" t="0" r="2540" b="2540"/>
            <wp:wrapTight wrapText="bothSides">
              <wp:wrapPolygon edited="0">
                <wp:start x="0" y="0"/>
                <wp:lineTo x="0" y="21403"/>
                <wp:lineTo x="21515" y="21403"/>
                <wp:lineTo x="21515" y="0"/>
                <wp:lineTo x="0" y="0"/>
              </wp:wrapPolygon>
            </wp:wrapTight>
            <wp:docPr id="25891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1595" name=""/>
                    <pic:cNvPicPr/>
                  </pic:nvPicPr>
                  <pic:blipFill>
                    <a:blip r:embed="rId12">
                      <a:extLst>
                        <a:ext uri="{28A0092B-C50C-407E-A947-70E740481C1C}">
                          <a14:useLocalDpi xmlns:a14="http://schemas.microsoft.com/office/drawing/2010/main" val="0"/>
                        </a:ext>
                      </a:extLst>
                    </a:blip>
                    <a:stretch>
                      <a:fillRect/>
                    </a:stretch>
                  </pic:blipFill>
                  <pic:spPr>
                    <a:xfrm>
                      <a:off x="0" y="0"/>
                      <a:ext cx="4188460" cy="1807210"/>
                    </a:xfrm>
                    <a:prstGeom prst="rect">
                      <a:avLst/>
                    </a:prstGeom>
                  </pic:spPr>
                </pic:pic>
              </a:graphicData>
            </a:graphic>
            <wp14:sizeRelH relativeFrom="margin">
              <wp14:pctWidth>0</wp14:pctWidth>
            </wp14:sizeRelH>
            <wp14:sizeRelV relativeFrom="margin">
              <wp14:pctHeight>0</wp14:pctHeight>
            </wp14:sizeRelV>
          </wp:anchor>
        </w:drawing>
      </w:r>
      <w:r w:rsidR="001437E2" w:rsidRPr="001437E2">
        <w:t>Entre 2011 et 2025, l’ajustement linéaire appliqué au prix de l’or montre que la droite de régression ne parvient pas toujours à suivre fidèlement l’évolution réelle des données, notamment lorsque les fluctuations deviennent plus marquées après 2020. L’analyse statistique révèle un coefficient de détermination relativement faible (R2=0,4437), ce qui signifie que moins de la moitié de la variabilité est expliquée par le modèle. De plus, les valeurs SR=27 737 303, ST=49 859 955</w:t>
      </w:r>
      <w:r w:rsidR="009470F8">
        <w:t xml:space="preserve"> </w:t>
      </w:r>
      <w:r w:rsidR="001437E2" w:rsidRPr="001437E2">
        <w:t>et SM=22 122 789</w:t>
      </w:r>
      <w:r w:rsidR="009470F8">
        <w:t xml:space="preserve"> </w:t>
      </w:r>
      <w:r w:rsidR="001437E2" w:rsidRPr="001437E2">
        <w:t>mettent en évidence une dispersion importante autour de la droite d’ajustement. Ces éléments soulignent les limites d’un modèle linéaire et suggèrent qu’un modèle exponentiel pourrait mieux convenir, notamment pour rendre compte de l’accentuation des variations observée sur les années récentes.</w:t>
      </w:r>
    </w:p>
    <w:p w14:paraId="7A5D5EB8" w14:textId="77777777" w:rsidR="00EF5541" w:rsidRDefault="00EF5541" w:rsidP="006F1B23">
      <w:pPr>
        <w:jc w:val="both"/>
      </w:pPr>
    </w:p>
    <w:p w14:paraId="24231BCC" w14:textId="6CC3DEE1" w:rsidR="00220278" w:rsidRDefault="00B62E87" w:rsidP="00B62E87">
      <w:pPr>
        <w:jc w:val="both"/>
      </w:pPr>
      <w:r w:rsidRPr="00B62E87">
        <w:lastRenderedPageBreak/>
        <w:drawing>
          <wp:anchor distT="0" distB="0" distL="114300" distR="114300" simplePos="0" relativeHeight="251664384" behindDoc="1" locked="0" layoutInCell="1" allowOverlap="1" wp14:anchorId="07F753D6" wp14:editId="22367062">
            <wp:simplePos x="0" y="0"/>
            <wp:positionH relativeFrom="margin">
              <wp:align>right</wp:align>
            </wp:positionH>
            <wp:positionV relativeFrom="paragraph">
              <wp:posOffset>5715</wp:posOffset>
            </wp:positionV>
            <wp:extent cx="4173220" cy="1751330"/>
            <wp:effectExtent l="0" t="0" r="0" b="1270"/>
            <wp:wrapTight wrapText="bothSides">
              <wp:wrapPolygon edited="0">
                <wp:start x="0" y="0"/>
                <wp:lineTo x="0" y="21381"/>
                <wp:lineTo x="21495" y="21381"/>
                <wp:lineTo x="21495" y="0"/>
                <wp:lineTo x="0" y="0"/>
              </wp:wrapPolygon>
            </wp:wrapTight>
            <wp:docPr id="1686233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322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3220" cy="1751330"/>
                    </a:xfrm>
                    <a:prstGeom prst="rect">
                      <a:avLst/>
                    </a:prstGeom>
                  </pic:spPr>
                </pic:pic>
              </a:graphicData>
            </a:graphic>
            <wp14:sizeRelH relativeFrom="margin">
              <wp14:pctWidth>0</wp14:pctWidth>
            </wp14:sizeRelH>
            <wp14:sizeRelV relativeFrom="margin">
              <wp14:pctHeight>0</wp14:pctHeight>
            </wp14:sizeRelV>
          </wp:anchor>
        </w:drawing>
      </w:r>
      <w:r w:rsidR="00EF5541" w:rsidRPr="00EF5541">
        <w:t>L’ajustement exponentiel appliqué à l’évolution du prix de l’or présente des performances supérieures à celles du modèle linéaire, avec un coefficient de détermination de R2=0,51. Toutefois, la courbe estimée ne reproduit pas parfaitement la série observée : elle s’écarte parfois des valeurs réelles, passant tantôt en dessous, tantôt au-dessus, selon les périodes où la volatilité se renforce. Pour mieux juger de la qualité de l’estimation, il est nécessaire de s’appuyer sur un critère plus précis que le seul R2. À ce titre, la somme des résidus au carré (SR=25 746 094) apparaît nettement plus faible que celle obtenue avec l’ajustement linéaire, indiquant une performance supérieure du modèle exponentiel. Ainsi, ce dernier fournit une approximation plus fidèle de la dynamique du prix de l’or et constitue un choix plus pertinent pour la modélisation de son évolution sur la période étudiée.</w:t>
      </w:r>
    </w:p>
    <w:p w14:paraId="0BA12822" w14:textId="77777777" w:rsidR="00FA694A" w:rsidRDefault="00FA694A" w:rsidP="00B62E87">
      <w:pPr>
        <w:jc w:val="both"/>
      </w:pPr>
    </w:p>
    <w:p w14:paraId="58FF88FA" w14:textId="23F79AFB" w:rsidR="00220278" w:rsidRDefault="00FA694A" w:rsidP="00B62E87">
      <w:pPr>
        <w:jc w:val="both"/>
      </w:pPr>
      <w:r w:rsidRPr="00FA694A">
        <w:drawing>
          <wp:anchor distT="0" distB="0" distL="114300" distR="114300" simplePos="0" relativeHeight="251665408" behindDoc="1" locked="0" layoutInCell="1" allowOverlap="1" wp14:anchorId="14F6E23F" wp14:editId="0EF574ED">
            <wp:simplePos x="0" y="0"/>
            <wp:positionH relativeFrom="margin">
              <wp:align>left</wp:align>
            </wp:positionH>
            <wp:positionV relativeFrom="paragraph">
              <wp:posOffset>46151</wp:posOffset>
            </wp:positionV>
            <wp:extent cx="4183380" cy="1731010"/>
            <wp:effectExtent l="0" t="0" r="7620" b="2540"/>
            <wp:wrapTight wrapText="bothSides">
              <wp:wrapPolygon edited="0">
                <wp:start x="0" y="0"/>
                <wp:lineTo x="0" y="21394"/>
                <wp:lineTo x="21541" y="21394"/>
                <wp:lineTo x="21541" y="0"/>
                <wp:lineTo x="0" y="0"/>
              </wp:wrapPolygon>
            </wp:wrapTight>
            <wp:docPr id="2020552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22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3380" cy="1731010"/>
                    </a:xfrm>
                    <a:prstGeom prst="rect">
                      <a:avLst/>
                    </a:prstGeom>
                  </pic:spPr>
                </pic:pic>
              </a:graphicData>
            </a:graphic>
          </wp:anchor>
        </w:drawing>
      </w:r>
      <w:r w:rsidR="00220278" w:rsidRPr="00220278">
        <w:t>N’ayant pas identifié de modèle linéaire ou exponentiel suffisamment pertinent pour expliquer l’évolution du prix de l’or, une modélisation polynomiale a été envisagée à l’aide de l’outil de régression d’Excel. L’ajustement polynomial de degré 3 obtenu présente un coefficient de détermination nettement plus élevé (R2=0,8759) que ceux des modèles testés précédemment. Ce niveau d’explication indique une meilleure prise en compte des variations observées, en particulier dans les périodes récentes marquées par une forte volatilité. Le modèle polynomial apparaît donc comme l’ajustement le plus cohérent pour décrire la dynamique du prix de l’or sur la période étudiée.</w:t>
      </w:r>
    </w:p>
    <w:p w14:paraId="6801268B" w14:textId="09BE1AA6" w:rsidR="00BB3770" w:rsidRDefault="00BB3770" w:rsidP="00B62E87">
      <w:pPr>
        <w:jc w:val="both"/>
      </w:pPr>
      <w:r w:rsidRPr="00BB3770">
        <w:t>Ainsi, parmi les modèles testés, l’ajustement polynomial s’avère le plus adapté à l’évolution du prix de l’or, car il restitue plus efficacement la tendance globale ainsi que les variations récentes, fortement marquées par la volatilité.</w:t>
      </w:r>
    </w:p>
    <w:p w14:paraId="6F1C43D1" w14:textId="77777777" w:rsidR="00B25F30" w:rsidRDefault="00B25F30" w:rsidP="00873028">
      <w:pPr>
        <w:tabs>
          <w:tab w:val="left" w:pos="7350"/>
        </w:tabs>
        <w:jc w:val="both"/>
        <w:rPr>
          <w:b/>
          <w:bCs/>
        </w:rPr>
      </w:pPr>
    </w:p>
    <w:p w14:paraId="2327F7C5" w14:textId="77777777" w:rsidR="00B25F30" w:rsidRDefault="00B25F30" w:rsidP="00873028">
      <w:pPr>
        <w:tabs>
          <w:tab w:val="left" w:pos="7350"/>
        </w:tabs>
        <w:jc w:val="both"/>
        <w:rPr>
          <w:b/>
          <w:bCs/>
        </w:rPr>
      </w:pPr>
    </w:p>
    <w:p w14:paraId="0F57611A" w14:textId="147AFB5F" w:rsidR="00B25F30" w:rsidRDefault="00B25F30" w:rsidP="00873028">
      <w:pPr>
        <w:tabs>
          <w:tab w:val="left" w:pos="7350"/>
        </w:tabs>
        <w:jc w:val="both"/>
        <w:rPr>
          <w:b/>
          <w:bCs/>
        </w:rPr>
      </w:pPr>
    </w:p>
    <w:p w14:paraId="6CDF2D9E" w14:textId="77777777" w:rsidR="004E7671" w:rsidRDefault="004E7671" w:rsidP="00873028">
      <w:pPr>
        <w:tabs>
          <w:tab w:val="left" w:pos="7350"/>
        </w:tabs>
        <w:jc w:val="both"/>
        <w:rPr>
          <w:b/>
          <w:bCs/>
        </w:rPr>
      </w:pPr>
    </w:p>
    <w:p w14:paraId="3A9B1F13" w14:textId="77777777" w:rsidR="004E7671" w:rsidRDefault="004E7671" w:rsidP="00873028">
      <w:pPr>
        <w:tabs>
          <w:tab w:val="left" w:pos="7350"/>
        </w:tabs>
        <w:jc w:val="both"/>
        <w:rPr>
          <w:b/>
          <w:bCs/>
        </w:rPr>
      </w:pPr>
    </w:p>
    <w:p w14:paraId="6CCC84A7" w14:textId="77777777" w:rsidR="004E7671" w:rsidRDefault="004E7671" w:rsidP="00873028">
      <w:pPr>
        <w:tabs>
          <w:tab w:val="left" w:pos="7350"/>
        </w:tabs>
        <w:jc w:val="both"/>
        <w:rPr>
          <w:b/>
          <w:bCs/>
        </w:rPr>
      </w:pPr>
    </w:p>
    <w:p w14:paraId="43CC30CB" w14:textId="5337FE45" w:rsidR="00873028" w:rsidRDefault="00873028" w:rsidP="00873028">
      <w:pPr>
        <w:tabs>
          <w:tab w:val="left" w:pos="7350"/>
        </w:tabs>
        <w:jc w:val="both"/>
        <w:rPr>
          <w:b/>
          <w:bCs/>
        </w:rPr>
      </w:pPr>
      <w:r>
        <w:rPr>
          <w:b/>
          <w:bCs/>
        </w:rPr>
        <w:lastRenderedPageBreak/>
        <w:t xml:space="preserve">Correction du modèle avec les variations </w:t>
      </w:r>
      <w:r w:rsidR="00F36613">
        <w:rPr>
          <w:b/>
          <w:bCs/>
        </w:rPr>
        <w:t>saisonnières</w:t>
      </w:r>
      <w:r>
        <w:rPr>
          <w:b/>
          <w:bCs/>
        </w:rPr>
        <w:t> :</w:t>
      </w:r>
    </w:p>
    <w:p w14:paraId="70DA9995" w14:textId="539C8001" w:rsidR="00761E0F" w:rsidRDefault="003E5B92" w:rsidP="00873028">
      <w:pPr>
        <w:tabs>
          <w:tab w:val="left" w:pos="7350"/>
        </w:tabs>
        <w:jc w:val="both"/>
      </w:pPr>
      <w:r w:rsidRPr="00FF2FEE">
        <w:drawing>
          <wp:anchor distT="0" distB="0" distL="114300" distR="114300" simplePos="0" relativeHeight="251666432" behindDoc="1" locked="0" layoutInCell="1" allowOverlap="1" wp14:anchorId="52C8C205" wp14:editId="7990E312">
            <wp:simplePos x="0" y="0"/>
            <wp:positionH relativeFrom="margin">
              <wp:align>left</wp:align>
            </wp:positionH>
            <wp:positionV relativeFrom="paragraph">
              <wp:posOffset>7057</wp:posOffset>
            </wp:positionV>
            <wp:extent cx="4674870" cy="2348865"/>
            <wp:effectExtent l="0" t="0" r="0" b="0"/>
            <wp:wrapTight wrapText="bothSides">
              <wp:wrapPolygon edited="0">
                <wp:start x="0" y="0"/>
                <wp:lineTo x="0" y="21372"/>
                <wp:lineTo x="21477" y="21372"/>
                <wp:lineTo x="21477" y="0"/>
                <wp:lineTo x="0" y="0"/>
              </wp:wrapPolygon>
            </wp:wrapTight>
            <wp:docPr id="1740057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5738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7558" cy="2355723"/>
                    </a:xfrm>
                    <a:prstGeom prst="rect">
                      <a:avLst/>
                    </a:prstGeom>
                  </pic:spPr>
                </pic:pic>
              </a:graphicData>
            </a:graphic>
            <wp14:sizeRelH relativeFrom="margin">
              <wp14:pctWidth>0</wp14:pctWidth>
            </wp14:sizeRelH>
            <wp14:sizeRelV relativeFrom="margin">
              <wp14:pctHeight>0</wp14:pctHeight>
            </wp14:sizeRelV>
          </wp:anchor>
        </w:drawing>
      </w:r>
      <w:r w:rsidR="00E2243A" w:rsidRPr="00E2243A">
        <w:t>Le modèle polynomial retenu a été complété par l’intégration de coefficients saisonniers afin d’améliorer les prévisions du prix de l’or. Douze coefficients bruts ont été obtenus pour chaque mois, mettant en évidence une saisonnalité marquée, notamment avec des pics récurrents à l’automne. La moyenne de ces coefficients étant de 1,0365, une correction a été nécessaire pour assurer leur cohérence avec un modèle multiplicatif. Après ajustement, la série de coefficients corrigés s’aligne mieux avec les variations réelles, réduisant les écarts entre valeurs observées et estimées. L’analyse des résidus montre une diminution de la somme des carrés des erreurs (7 769 082,107 contre 8 033 302,253), confirmant l’amélioration de l’ajustement. Ces résultats indiquent que l’intégration simultanée de la tendance polynomiale et de la saisonnalité permet de générer des prévisions plus fiables. Le modèle tient ainsi compte à la fois de la tendance globale et des fluctuations saisonnières du prix de l’or sur la période étudiée.</w:t>
      </w:r>
    </w:p>
    <w:p w14:paraId="7E856672" w14:textId="4CE6F696" w:rsidR="00B90525" w:rsidRPr="00B90525" w:rsidRDefault="00B90525" w:rsidP="00873028">
      <w:pPr>
        <w:tabs>
          <w:tab w:val="left" w:pos="7350"/>
        </w:tabs>
        <w:jc w:val="both"/>
        <w:rPr>
          <w:b/>
          <w:bCs/>
        </w:rPr>
      </w:pPr>
      <w:r w:rsidRPr="00B90525">
        <w:rPr>
          <w:b/>
          <w:bCs/>
        </w:rPr>
        <w:t>Prévision du modèle :</w:t>
      </w:r>
    </w:p>
    <w:p w14:paraId="59A8713B" w14:textId="1CA97336" w:rsidR="00B90525" w:rsidRDefault="00B90525" w:rsidP="00873028">
      <w:pPr>
        <w:tabs>
          <w:tab w:val="left" w:pos="7350"/>
        </w:tabs>
        <w:jc w:val="both"/>
      </w:pPr>
      <w:r w:rsidRPr="00B90525">
        <w:t xml:space="preserve">On souhaite calculer les prévisions du prix de l’or pour </w:t>
      </w:r>
      <w:r>
        <w:t xml:space="preserve">fin </w:t>
      </w:r>
      <w:r w:rsidRPr="00B90525">
        <w:t>2025</w:t>
      </w:r>
      <w:r>
        <w:t xml:space="preserve"> et </w:t>
      </w:r>
      <w:r w:rsidRPr="00B90525">
        <w:t>2026. Pour effectuer ces prévisions, on commence par calculer la tendance à l’aide du modèle polynomial, puis on intègre les coefficients saisonniers corrigés pour obtenir la série ajustée finale. C’est ainsi que l’on obtient les prévisions mensuelles pour cette période.</w:t>
      </w:r>
    </w:p>
    <w:tbl>
      <w:tblPr>
        <w:tblpPr w:leftFromText="141" w:rightFromText="141" w:vertAnchor="text" w:horzAnchor="margin" w:tblpXSpec="center" w:tblpY="31"/>
        <w:tblW w:w="6270" w:type="dxa"/>
        <w:tblCellMar>
          <w:left w:w="70" w:type="dxa"/>
          <w:right w:w="70" w:type="dxa"/>
        </w:tblCellMar>
        <w:tblLook w:val="04A0" w:firstRow="1" w:lastRow="0" w:firstColumn="1" w:lastColumn="0" w:noHBand="0" w:noVBand="1"/>
      </w:tblPr>
      <w:tblGrid>
        <w:gridCol w:w="720"/>
        <w:gridCol w:w="1140"/>
        <w:gridCol w:w="735"/>
        <w:gridCol w:w="1087"/>
        <w:gridCol w:w="1310"/>
        <w:gridCol w:w="1312"/>
      </w:tblGrid>
      <w:tr w:rsidR="001278DB" w:rsidRPr="001278DB" w14:paraId="04015D29" w14:textId="77777777" w:rsidTr="001278DB">
        <w:trPr>
          <w:trHeight w:val="300"/>
        </w:trPr>
        <w:tc>
          <w:tcPr>
            <w:tcW w:w="720" w:type="dxa"/>
            <w:tcBorders>
              <w:top w:val="single" w:sz="4" w:space="0" w:color="auto"/>
              <w:left w:val="single" w:sz="4" w:space="0" w:color="auto"/>
              <w:bottom w:val="single" w:sz="4" w:space="0" w:color="auto"/>
              <w:right w:val="single" w:sz="4" w:space="0" w:color="auto"/>
            </w:tcBorders>
            <w:shd w:val="clear" w:color="000000" w:fill="F4B084"/>
            <w:noWrap/>
            <w:vAlign w:val="center"/>
            <w:hideMark/>
          </w:tcPr>
          <w:p w14:paraId="5292B148" w14:textId="5E7ED273" w:rsidR="001278DB" w:rsidRPr="001278DB" w:rsidRDefault="00B90525"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Année</w:t>
            </w:r>
          </w:p>
        </w:tc>
        <w:tc>
          <w:tcPr>
            <w:tcW w:w="1140" w:type="dxa"/>
            <w:tcBorders>
              <w:top w:val="single" w:sz="4" w:space="0" w:color="auto"/>
              <w:left w:val="nil"/>
              <w:bottom w:val="single" w:sz="4" w:space="0" w:color="auto"/>
              <w:right w:val="single" w:sz="4" w:space="0" w:color="auto"/>
            </w:tcBorders>
            <w:shd w:val="clear" w:color="000000" w:fill="F4B084"/>
            <w:noWrap/>
            <w:vAlign w:val="center"/>
            <w:hideMark/>
          </w:tcPr>
          <w:p w14:paraId="60A8035A"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Mois</w:t>
            </w:r>
          </w:p>
        </w:tc>
        <w:tc>
          <w:tcPr>
            <w:tcW w:w="701" w:type="dxa"/>
            <w:tcBorders>
              <w:top w:val="single" w:sz="4" w:space="0" w:color="auto"/>
              <w:left w:val="nil"/>
              <w:bottom w:val="single" w:sz="4" w:space="0" w:color="auto"/>
              <w:right w:val="single" w:sz="4" w:space="0" w:color="auto"/>
            </w:tcBorders>
            <w:shd w:val="clear" w:color="000000" w:fill="F4B084"/>
            <w:noWrap/>
            <w:vAlign w:val="center"/>
            <w:hideMark/>
          </w:tcPr>
          <w:p w14:paraId="289578A0" w14:textId="040EE346" w:rsidR="001278DB" w:rsidRPr="001278DB" w:rsidRDefault="00B90525"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Temps</w:t>
            </w:r>
          </w:p>
        </w:tc>
        <w:tc>
          <w:tcPr>
            <w:tcW w:w="1087" w:type="dxa"/>
            <w:tcBorders>
              <w:top w:val="single" w:sz="4" w:space="0" w:color="auto"/>
              <w:left w:val="nil"/>
              <w:bottom w:val="single" w:sz="4" w:space="0" w:color="auto"/>
              <w:right w:val="single" w:sz="4" w:space="0" w:color="auto"/>
            </w:tcBorders>
            <w:shd w:val="clear" w:color="000000" w:fill="F4B084"/>
            <w:noWrap/>
            <w:vAlign w:val="center"/>
            <w:hideMark/>
          </w:tcPr>
          <w:p w14:paraId="09415F4E" w14:textId="707BA480" w:rsidR="001278DB" w:rsidRPr="001278DB" w:rsidRDefault="00B90525" w:rsidP="001278DB">
            <w:pPr>
              <w:spacing w:after="0" w:line="240" w:lineRule="auto"/>
              <w:jc w:val="center"/>
              <w:rPr>
                <w:rFonts w:ascii="Calibri" w:eastAsia="Times New Roman" w:hAnsi="Calibri" w:cs="Calibri"/>
                <w:color w:val="000000"/>
                <w:kern w:val="0"/>
                <w:lang w:eastAsia="fr-FR"/>
                <w14:ligatures w14:val="none"/>
              </w:rPr>
            </w:pPr>
            <w:proofErr w:type="spellStart"/>
            <w:r>
              <w:rPr>
                <w:rFonts w:ascii="Calibri" w:eastAsia="Times New Roman" w:hAnsi="Calibri" w:cs="Calibri"/>
                <w:color w:val="000000"/>
                <w:kern w:val="0"/>
                <w:lang w:eastAsia="fr-FR"/>
                <w14:ligatures w14:val="none"/>
              </w:rPr>
              <w:t>F</w:t>
            </w:r>
            <w:r w:rsidR="001278DB" w:rsidRPr="001278DB">
              <w:rPr>
                <w:rFonts w:ascii="Calibri" w:eastAsia="Times New Roman" w:hAnsi="Calibri" w:cs="Calibri"/>
                <w:color w:val="000000"/>
                <w:kern w:val="0"/>
                <w:lang w:eastAsia="fr-FR"/>
                <w14:ligatures w14:val="none"/>
              </w:rPr>
              <w:t>t</w:t>
            </w:r>
            <w:proofErr w:type="spellEnd"/>
            <w:r w:rsidR="001278DB" w:rsidRPr="001278DB">
              <w:rPr>
                <w:rFonts w:ascii="Calibri" w:eastAsia="Times New Roman" w:hAnsi="Calibri" w:cs="Calibri"/>
                <w:color w:val="000000"/>
                <w:kern w:val="0"/>
                <w:lang w:eastAsia="fr-FR"/>
                <w14:ligatures w14:val="none"/>
              </w:rPr>
              <w:t xml:space="preserve"> </w:t>
            </w:r>
          </w:p>
        </w:tc>
        <w:tc>
          <w:tcPr>
            <w:tcW w:w="1310" w:type="dxa"/>
            <w:tcBorders>
              <w:top w:val="single" w:sz="4" w:space="0" w:color="auto"/>
              <w:left w:val="nil"/>
              <w:bottom w:val="single" w:sz="4" w:space="0" w:color="auto"/>
              <w:right w:val="single" w:sz="4" w:space="0" w:color="auto"/>
            </w:tcBorders>
            <w:shd w:val="clear" w:color="000000" w:fill="F4B084"/>
            <w:noWrap/>
            <w:vAlign w:val="center"/>
            <w:hideMark/>
          </w:tcPr>
          <w:p w14:paraId="2BF1EA43"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St corriger</w:t>
            </w:r>
          </w:p>
        </w:tc>
        <w:tc>
          <w:tcPr>
            <w:tcW w:w="1312" w:type="dxa"/>
            <w:tcBorders>
              <w:top w:val="single" w:sz="4" w:space="0" w:color="auto"/>
              <w:left w:val="nil"/>
              <w:bottom w:val="single" w:sz="4" w:space="0" w:color="auto"/>
              <w:right w:val="single" w:sz="4" w:space="0" w:color="auto"/>
            </w:tcBorders>
            <w:shd w:val="clear" w:color="000000" w:fill="F4B084"/>
            <w:noWrap/>
            <w:vAlign w:val="center"/>
            <w:hideMark/>
          </w:tcPr>
          <w:p w14:paraId="7AB4C548" w14:textId="3A321D71"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Prévision</w:t>
            </w:r>
          </w:p>
        </w:tc>
      </w:tr>
      <w:tr w:rsidR="001278DB" w:rsidRPr="001278DB" w14:paraId="07CB0644" w14:textId="77777777" w:rsidTr="001278DB">
        <w:trPr>
          <w:trHeight w:val="300"/>
        </w:trPr>
        <w:tc>
          <w:tcPr>
            <w:tcW w:w="720" w:type="dxa"/>
            <w:vMerge w:val="restart"/>
            <w:tcBorders>
              <w:top w:val="nil"/>
              <w:left w:val="single" w:sz="4" w:space="0" w:color="auto"/>
              <w:bottom w:val="single" w:sz="4" w:space="0" w:color="000000"/>
              <w:right w:val="single" w:sz="4" w:space="0" w:color="auto"/>
            </w:tcBorders>
            <w:noWrap/>
            <w:vAlign w:val="center"/>
            <w:hideMark/>
          </w:tcPr>
          <w:p w14:paraId="435FA711"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2025</w:t>
            </w:r>
          </w:p>
        </w:tc>
        <w:tc>
          <w:tcPr>
            <w:tcW w:w="1140" w:type="dxa"/>
            <w:tcBorders>
              <w:top w:val="nil"/>
              <w:left w:val="nil"/>
              <w:bottom w:val="single" w:sz="4" w:space="0" w:color="auto"/>
              <w:right w:val="single" w:sz="4" w:space="0" w:color="auto"/>
            </w:tcBorders>
            <w:noWrap/>
            <w:vAlign w:val="center"/>
            <w:hideMark/>
          </w:tcPr>
          <w:p w14:paraId="4799015B"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 xml:space="preserve">Novembre </w:t>
            </w:r>
          </w:p>
        </w:tc>
        <w:tc>
          <w:tcPr>
            <w:tcW w:w="701" w:type="dxa"/>
            <w:tcBorders>
              <w:top w:val="nil"/>
              <w:left w:val="nil"/>
              <w:bottom w:val="single" w:sz="4" w:space="0" w:color="auto"/>
              <w:right w:val="single" w:sz="4" w:space="0" w:color="auto"/>
            </w:tcBorders>
            <w:noWrap/>
            <w:vAlign w:val="center"/>
            <w:hideMark/>
          </w:tcPr>
          <w:p w14:paraId="53D5D327"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179</w:t>
            </w:r>
          </w:p>
        </w:tc>
        <w:tc>
          <w:tcPr>
            <w:tcW w:w="1087" w:type="dxa"/>
            <w:tcBorders>
              <w:top w:val="nil"/>
              <w:left w:val="nil"/>
              <w:bottom w:val="single" w:sz="4" w:space="0" w:color="auto"/>
              <w:right w:val="single" w:sz="4" w:space="0" w:color="auto"/>
            </w:tcBorders>
            <w:noWrap/>
            <w:vAlign w:val="center"/>
            <w:hideMark/>
          </w:tcPr>
          <w:p w14:paraId="4D1269DE"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2970,9123</w:t>
            </w:r>
          </w:p>
        </w:tc>
        <w:tc>
          <w:tcPr>
            <w:tcW w:w="1310" w:type="dxa"/>
            <w:tcBorders>
              <w:top w:val="nil"/>
              <w:left w:val="nil"/>
              <w:bottom w:val="single" w:sz="4" w:space="0" w:color="auto"/>
              <w:right w:val="single" w:sz="4" w:space="0" w:color="auto"/>
            </w:tcBorders>
            <w:noWrap/>
            <w:vAlign w:val="center"/>
            <w:hideMark/>
          </w:tcPr>
          <w:p w14:paraId="5674364D"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0,986717025</w:t>
            </w:r>
          </w:p>
        </w:tc>
        <w:tc>
          <w:tcPr>
            <w:tcW w:w="1312" w:type="dxa"/>
            <w:tcBorders>
              <w:top w:val="nil"/>
              <w:left w:val="nil"/>
              <w:bottom w:val="single" w:sz="4" w:space="0" w:color="auto"/>
              <w:right w:val="single" w:sz="4" w:space="0" w:color="auto"/>
            </w:tcBorders>
            <w:noWrap/>
            <w:vAlign w:val="center"/>
            <w:hideMark/>
          </w:tcPr>
          <w:p w14:paraId="4353FAD8"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2931,449747</w:t>
            </w:r>
          </w:p>
        </w:tc>
      </w:tr>
      <w:tr w:rsidR="001278DB" w:rsidRPr="001278DB" w14:paraId="1EF7ED1E" w14:textId="77777777" w:rsidTr="001278DB">
        <w:trPr>
          <w:trHeight w:val="300"/>
        </w:trPr>
        <w:tc>
          <w:tcPr>
            <w:tcW w:w="720" w:type="dxa"/>
            <w:vMerge/>
            <w:tcBorders>
              <w:top w:val="nil"/>
              <w:left w:val="single" w:sz="4" w:space="0" w:color="auto"/>
              <w:bottom w:val="single" w:sz="4" w:space="0" w:color="000000"/>
              <w:right w:val="single" w:sz="4" w:space="0" w:color="auto"/>
            </w:tcBorders>
            <w:vAlign w:val="center"/>
            <w:hideMark/>
          </w:tcPr>
          <w:p w14:paraId="12BC115C"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53F2A1CE" w14:textId="16BBC1AC" w:rsidR="001278DB" w:rsidRPr="001278DB" w:rsidRDefault="00B90525"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Décembre</w:t>
            </w:r>
          </w:p>
        </w:tc>
        <w:tc>
          <w:tcPr>
            <w:tcW w:w="701" w:type="dxa"/>
            <w:tcBorders>
              <w:top w:val="nil"/>
              <w:left w:val="nil"/>
              <w:bottom w:val="single" w:sz="4" w:space="0" w:color="auto"/>
              <w:right w:val="single" w:sz="4" w:space="0" w:color="auto"/>
            </w:tcBorders>
            <w:noWrap/>
            <w:vAlign w:val="center"/>
            <w:hideMark/>
          </w:tcPr>
          <w:p w14:paraId="1E363C3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180</w:t>
            </w:r>
          </w:p>
        </w:tc>
        <w:tc>
          <w:tcPr>
            <w:tcW w:w="1087" w:type="dxa"/>
            <w:tcBorders>
              <w:top w:val="nil"/>
              <w:left w:val="nil"/>
              <w:bottom w:val="single" w:sz="4" w:space="0" w:color="auto"/>
              <w:right w:val="single" w:sz="4" w:space="0" w:color="auto"/>
            </w:tcBorders>
            <w:noWrap/>
            <w:vAlign w:val="center"/>
            <w:hideMark/>
          </w:tcPr>
          <w:p w14:paraId="21B01445"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3011,846</w:t>
            </w:r>
          </w:p>
        </w:tc>
        <w:tc>
          <w:tcPr>
            <w:tcW w:w="1310" w:type="dxa"/>
            <w:tcBorders>
              <w:top w:val="nil"/>
              <w:left w:val="nil"/>
              <w:bottom w:val="single" w:sz="4" w:space="0" w:color="auto"/>
              <w:right w:val="single" w:sz="4" w:space="0" w:color="auto"/>
            </w:tcBorders>
            <w:noWrap/>
            <w:vAlign w:val="center"/>
            <w:hideMark/>
          </w:tcPr>
          <w:p w14:paraId="7B066731"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0,973888129</w:t>
            </w:r>
          </w:p>
        </w:tc>
        <w:tc>
          <w:tcPr>
            <w:tcW w:w="1312" w:type="dxa"/>
            <w:tcBorders>
              <w:top w:val="nil"/>
              <w:left w:val="nil"/>
              <w:bottom w:val="single" w:sz="4" w:space="0" w:color="auto"/>
              <w:right w:val="single" w:sz="4" w:space="0" w:color="auto"/>
            </w:tcBorders>
            <w:noWrap/>
            <w:vAlign w:val="center"/>
            <w:hideMark/>
          </w:tcPr>
          <w:p w14:paraId="3FB1B19F"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2933,201065</w:t>
            </w:r>
          </w:p>
        </w:tc>
      </w:tr>
      <w:tr w:rsidR="001278DB" w:rsidRPr="001278DB" w14:paraId="1A97ABE2" w14:textId="77777777" w:rsidTr="001278DB">
        <w:trPr>
          <w:trHeight w:val="300"/>
        </w:trPr>
        <w:tc>
          <w:tcPr>
            <w:tcW w:w="720" w:type="dxa"/>
            <w:vMerge w:val="restart"/>
            <w:tcBorders>
              <w:top w:val="nil"/>
              <w:left w:val="single" w:sz="4" w:space="0" w:color="auto"/>
              <w:bottom w:val="single" w:sz="4" w:space="0" w:color="auto"/>
              <w:right w:val="single" w:sz="4" w:space="0" w:color="auto"/>
            </w:tcBorders>
            <w:noWrap/>
            <w:vAlign w:val="center"/>
            <w:hideMark/>
          </w:tcPr>
          <w:p w14:paraId="28504EE6"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2026</w:t>
            </w:r>
          </w:p>
        </w:tc>
        <w:tc>
          <w:tcPr>
            <w:tcW w:w="1140" w:type="dxa"/>
            <w:tcBorders>
              <w:top w:val="nil"/>
              <w:left w:val="nil"/>
              <w:bottom w:val="single" w:sz="4" w:space="0" w:color="auto"/>
              <w:right w:val="single" w:sz="4" w:space="0" w:color="auto"/>
            </w:tcBorders>
            <w:noWrap/>
            <w:vAlign w:val="center"/>
            <w:hideMark/>
          </w:tcPr>
          <w:p w14:paraId="2BEF8D78"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Janvier</w:t>
            </w:r>
          </w:p>
        </w:tc>
        <w:tc>
          <w:tcPr>
            <w:tcW w:w="701" w:type="dxa"/>
            <w:tcBorders>
              <w:top w:val="nil"/>
              <w:left w:val="nil"/>
              <w:bottom w:val="single" w:sz="4" w:space="0" w:color="auto"/>
              <w:right w:val="single" w:sz="4" w:space="0" w:color="auto"/>
            </w:tcBorders>
            <w:noWrap/>
            <w:vAlign w:val="center"/>
            <w:hideMark/>
          </w:tcPr>
          <w:p w14:paraId="20130C1D"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181</w:t>
            </w:r>
          </w:p>
        </w:tc>
        <w:tc>
          <w:tcPr>
            <w:tcW w:w="1087" w:type="dxa"/>
            <w:tcBorders>
              <w:top w:val="nil"/>
              <w:left w:val="nil"/>
              <w:bottom w:val="single" w:sz="4" w:space="0" w:color="auto"/>
              <w:right w:val="single" w:sz="4" w:space="0" w:color="auto"/>
            </w:tcBorders>
            <w:noWrap/>
            <w:vAlign w:val="center"/>
            <w:hideMark/>
          </w:tcPr>
          <w:p w14:paraId="15C46E0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3053,3689</w:t>
            </w:r>
          </w:p>
        </w:tc>
        <w:tc>
          <w:tcPr>
            <w:tcW w:w="1310" w:type="dxa"/>
            <w:tcBorders>
              <w:top w:val="nil"/>
              <w:left w:val="nil"/>
              <w:bottom w:val="single" w:sz="4" w:space="0" w:color="auto"/>
              <w:right w:val="single" w:sz="4" w:space="0" w:color="auto"/>
            </w:tcBorders>
            <w:noWrap/>
            <w:vAlign w:val="center"/>
            <w:hideMark/>
          </w:tcPr>
          <w:p w14:paraId="2BBD026B"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0,98211145</w:t>
            </w:r>
          </w:p>
        </w:tc>
        <w:tc>
          <w:tcPr>
            <w:tcW w:w="1312" w:type="dxa"/>
            <w:tcBorders>
              <w:top w:val="nil"/>
              <w:left w:val="nil"/>
              <w:bottom w:val="single" w:sz="4" w:space="0" w:color="auto"/>
              <w:right w:val="single" w:sz="4" w:space="0" w:color="auto"/>
            </w:tcBorders>
            <w:noWrap/>
            <w:vAlign w:val="center"/>
            <w:hideMark/>
          </w:tcPr>
          <w:p w14:paraId="0D12857C"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2998,748556</w:t>
            </w:r>
          </w:p>
        </w:tc>
      </w:tr>
      <w:tr w:rsidR="001278DB" w:rsidRPr="001278DB" w14:paraId="5FC09DB5"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47A9BBAB"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55915C4C" w14:textId="70C97428" w:rsidR="001278DB" w:rsidRPr="001278DB" w:rsidRDefault="00B90525"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Février</w:t>
            </w:r>
          </w:p>
        </w:tc>
        <w:tc>
          <w:tcPr>
            <w:tcW w:w="701" w:type="dxa"/>
            <w:tcBorders>
              <w:top w:val="nil"/>
              <w:left w:val="nil"/>
              <w:bottom w:val="single" w:sz="4" w:space="0" w:color="auto"/>
              <w:right w:val="single" w:sz="4" w:space="0" w:color="auto"/>
            </w:tcBorders>
            <w:noWrap/>
            <w:vAlign w:val="center"/>
            <w:hideMark/>
          </w:tcPr>
          <w:p w14:paraId="448EACE5"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182</w:t>
            </w:r>
          </w:p>
        </w:tc>
        <w:tc>
          <w:tcPr>
            <w:tcW w:w="1087" w:type="dxa"/>
            <w:tcBorders>
              <w:top w:val="nil"/>
              <w:left w:val="nil"/>
              <w:bottom w:val="single" w:sz="4" w:space="0" w:color="auto"/>
              <w:right w:val="single" w:sz="4" w:space="0" w:color="auto"/>
            </w:tcBorders>
            <w:noWrap/>
            <w:vAlign w:val="center"/>
            <w:hideMark/>
          </w:tcPr>
          <w:p w14:paraId="308BAC80"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3095,4846</w:t>
            </w:r>
          </w:p>
        </w:tc>
        <w:tc>
          <w:tcPr>
            <w:tcW w:w="1310" w:type="dxa"/>
            <w:tcBorders>
              <w:top w:val="nil"/>
              <w:left w:val="nil"/>
              <w:bottom w:val="single" w:sz="4" w:space="0" w:color="auto"/>
              <w:right w:val="single" w:sz="4" w:space="0" w:color="auto"/>
            </w:tcBorders>
            <w:noWrap/>
            <w:vAlign w:val="center"/>
            <w:hideMark/>
          </w:tcPr>
          <w:p w14:paraId="7965862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0,995135432</w:t>
            </w:r>
          </w:p>
        </w:tc>
        <w:tc>
          <w:tcPr>
            <w:tcW w:w="1312" w:type="dxa"/>
            <w:tcBorders>
              <w:top w:val="nil"/>
              <w:left w:val="nil"/>
              <w:bottom w:val="single" w:sz="4" w:space="0" w:color="auto"/>
              <w:right w:val="single" w:sz="4" w:space="0" w:color="auto"/>
            </w:tcBorders>
            <w:noWrap/>
            <w:vAlign w:val="center"/>
            <w:hideMark/>
          </w:tcPr>
          <w:p w14:paraId="46D7CC2C"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3080,426404</w:t>
            </w:r>
          </w:p>
        </w:tc>
      </w:tr>
      <w:tr w:rsidR="001278DB" w:rsidRPr="001278DB" w14:paraId="07E847FD"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7B6F0DE7"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6E755F5C"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Mars</w:t>
            </w:r>
          </w:p>
        </w:tc>
        <w:tc>
          <w:tcPr>
            <w:tcW w:w="701" w:type="dxa"/>
            <w:tcBorders>
              <w:top w:val="nil"/>
              <w:left w:val="nil"/>
              <w:bottom w:val="single" w:sz="4" w:space="0" w:color="auto"/>
              <w:right w:val="single" w:sz="4" w:space="0" w:color="auto"/>
            </w:tcBorders>
            <w:noWrap/>
            <w:vAlign w:val="center"/>
            <w:hideMark/>
          </w:tcPr>
          <w:p w14:paraId="27D843C9"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183</w:t>
            </w:r>
          </w:p>
        </w:tc>
        <w:tc>
          <w:tcPr>
            <w:tcW w:w="1087" w:type="dxa"/>
            <w:tcBorders>
              <w:top w:val="nil"/>
              <w:left w:val="nil"/>
              <w:bottom w:val="single" w:sz="4" w:space="0" w:color="auto"/>
              <w:right w:val="single" w:sz="4" w:space="0" w:color="auto"/>
            </w:tcBorders>
            <w:noWrap/>
            <w:vAlign w:val="center"/>
            <w:hideMark/>
          </w:tcPr>
          <w:p w14:paraId="2EAD372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3138,1967</w:t>
            </w:r>
          </w:p>
        </w:tc>
        <w:tc>
          <w:tcPr>
            <w:tcW w:w="1310" w:type="dxa"/>
            <w:tcBorders>
              <w:top w:val="nil"/>
              <w:left w:val="nil"/>
              <w:bottom w:val="single" w:sz="4" w:space="0" w:color="auto"/>
              <w:right w:val="single" w:sz="4" w:space="0" w:color="auto"/>
            </w:tcBorders>
            <w:noWrap/>
            <w:vAlign w:val="center"/>
            <w:hideMark/>
          </w:tcPr>
          <w:p w14:paraId="4628E745"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0,997218185</w:t>
            </w:r>
          </w:p>
        </w:tc>
        <w:tc>
          <w:tcPr>
            <w:tcW w:w="1312" w:type="dxa"/>
            <w:tcBorders>
              <w:top w:val="nil"/>
              <w:left w:val="nil"/>
              <w:bottom w:val="single" w:sz="4" w:space="0" w:color="auto"/>
              <w:right w:val="single" w:sz="4" w:space="0" w:color="auto"/>
            </w:tcBorders>
            <w:noWrap/>
            <w:vAlign w:val="center"/>
            <w:hideMark/>
          </w:tcPr>
          <w:p w14:paraId="2A3D2CB1"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3129,466818</w:t>
            </w:r>
          </w:p>
        </w:tc>
      </w:tr>
      <w:tr w:rsidR="001278DB" w:rsidRPr="001278DB" w14:paraId="2AF6240C"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751E6589"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2A2A348D"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Avril</w:t>
            </w:r>
          </w:p>
        </w:tc>
        <w:tc>
          <w:tcPr>
            <w:tcW w:w="701" w:type="dxa"/>
            <w:tcBorders>
              <w:top w:val="nil"/>
              <w:left w:val="nil"/>
              <w:bottom w:val="single" w:sz="4" w:space="0" w:color="auto"/>
              <w:right w:val="single" w:sz="4" w:space="0" w:color="auto"/>
            </w:tcBorders>
            <w:noWrap/>
            <w:vAlign w:val="center"/>
            <w:hideMark/>
          </w:tcPr>
          <w:p w14:paraId="302EE1C3"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184</w:t>
            </w:r>
          </w:p>
        </w:tc>
        <w:tc>
          <w:tcPr>
            <w:tcW w:w="1087" w:type="dxa"/>
            <w:tcBorders>
              <w:top w:val="nil"/>
              <w:left w:val="nil"/>
              <w:bottom w:val="single" w:sz="4" w:space="0" w:color="auto"/>
              <w:right w:val="single" w:sz="4" w:space="0" w:color="auto"/>
            </w:tcBorders>
            <w:noWrap/>
            <w:vAlign w:val="center"/>
            <w:hideMark/>
          </w:tcPr>
          <w:p w14:paraId="1197B5D5"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3181,5088</w:t>
            </w:r>
          </w:p>
        </w:tc>
        <w:tc>
          <w:tcPr>
            <w:tcW w:w="1310" w:type="dxa"/>
            <w:tcBorders>
              <w:top w:val="nil"/>
              <w:left w:val="nil"/>
              <w:bottom w:val="single" w:sz="4" w:space="0" w:color="auto"/>
              <w:right w:val="single" w:sz="4" w:space="0" w:color="auto"/>
            </w:tcBorders>
            <w:noWrap/>
            <w:vAlign w:val="center"/>
            <w:hideMark/>
          </w:tcPr>
          <w:p w14:paraId="04276481"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1,009437883</w:t>
            </w:r>
          </w:p>
        </w:tc>
        <w:tc>
          <w:tcPr>
            <w:tcW w:w="1312" w:type="dxa"/>
            <w:tcBorders>
              <w:top w:val="nil"/>
              <w:left w:val="nil"/>
              <w:bottom w:val="single" w:sz="4" w:space="0" w:color="auto"/>
              <w:right w:val="single" w:sz="4" w:space="0" w:color="auto"/>
            </w:tcBorders>
            <w:noWrap/>
            <w:vAlign w:val="center"/>
            <w:hideMark/>
          </w:tcPr>
          <w:p w14:paraId="76475E36"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3211,535507</w:t>
            </w:r>
          </w:p>
        </w:tc>
      </w:tr>
      <w:tr w:rsidR="001278DB" w:rsidRPr="001278DB" w14:paraId="063B703E"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3FD19F86"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67E1B63D"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Mai</w:t>
            </w:r>
          </w:p>
        </w:tc>
        <w:tc>
          <w:tcPr>
            <w:tcW w:w="701" w:type="dxa"/>
            <w:tcBorders>
              <w:top w:val="nil"/>
              <w:left w:val="nil"/>
              <w:bottom w:val="single" w:sz="4" w:space="0" w:color="auto"/>
              <w:right w:val="single" w:sz="4" w:space="0" w:color="auto"/>
            </w:tcBorders>
            <w:noWrap/>
            <w:vAlign w:val="center"/>
            <w:hideMark/>
          </w:tcPr>
          <w:p w14:paraId="591924D7"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185</w:t>
            </w:r>
          </w:p>
        </w:tc>
        <w:tc>
          <w:tcPr>
            <w:tcW w:w="1087" w:type="dxa"/>
            <w:tcBorders>
              <w:top w:val="nil"/>
              <w:left w:val="nil"/>
              <w:bottom w:val="single" w:sz="4" w:space="0" w:color="auto"/>
              <w:right w:val="single" w:sz="4" w:space="0" w:color="auto"/>
            </w:tcBorders>
            <w:noWrap/>
            <w:vAlign w:val="center"/>
            <w:hideMark/>
          </w:tcPr>
          <w:p w14:paraId="34A72E6A"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3225,4245</w:t>
            </w:r>
          </w:p>
        </w:tc>
        <w:tc>
          <w:tcPr>
            <w:tcW w:w="1310" w:type="dxa"/>
            <w:tcBorders>
              <w:top w:val="nil"/>
              <w:left w:val="nil"/>
              <w:bottom w:val="single" w:sz="4" w:space="0" w:color="auto"/>
              <w:right w:val="single" w:sz="4" w:space="0" w:color="auto"/>
            </w:tcBorders>
            <w:noWrap/>
            <w:vAlign w:val="center"/>
            <w:hideMark/>
          </w:tcPr>
          <w:p w14:paraId="0CAC57FA"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1,00300555</w:t>
            </w:r>
          </w:p>
        </w:tc>
        <w:tc>
          <w:tcPr>
            <w:tcW w:w="1312" w:type="dxa"/>
            <w:tcBorders>
              <w:top w:val="nil"/>
              <w:left w:val="nil"/>
              <w:bottom w:val="single" w:sz="4" w:space="0" w:color="auto"/>
              <w:right w:val="single" w:sz="4" w:space="0" w:color="auto"/>
            </w:tcBorders>
            <w:noWrap/>
            <w:vAlign w:val="center"/>
            <w:hideMark/>
          </w:tcPr>
          <w:p w14:paraId="4AB7BF87"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3235,118676</w:t>
            </w:r>
          </w:p>
        </w:tc>
      </w:tr>
      <w:tr w:rsidR="001278DB" w:rsidRPr="001278DB" w14:paraId="75035315"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314DB7F7"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0D97567A"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Juin</w:t>
            </w:r>
          </w:p>
        </w:tc>
        <w:tc>
          <w:tcPr>
            <w:tcW w:w="701" w:type="dxa"/>
            <w:tcBorders>
              <w:top w:val="nil"/>
              <w:left w:val="nil"/>
              <w:bottom w:val="single" w:sz="4" w:space="0" w:color="auto"/>
              <w:right w:val="single" w:sz="4" w:space="0" w:color="auto"/>
            </w:tcBorders>
            <w:noWrap/>
            <w:vAlign w:val="center"/>
            <w:hideMark/>
          </w:tcPr>
          <w:p w14:paraId="01DD2E56"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186</w:t>
            </w:r>
          </w:p>
        </w:tc>
        <w:tc>
          <w:tcPr>
            <w:tcW w:w="1087" w:type="dxa"/>
            <w:tcBorders>
              <w:top w:val="nil"/>
              <w:left w:val="nil"/>
              <w:bottom w:val="single" w:sz="4" w:space="0" w:color="auto"/>
              <w:right w:val="single" w:sz="4" w:space="0" w:color="auto"/>
            </w:tcBorders>
            <w:noWrap/>
            <w:vAlign w:val="center"/>
            <w:hideMark/>
          </w:tcPr>
          <w:p w14:paraId="1D474C9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3269,9474</w:t>
            </w:r>
          </w:p>
        </w:tc>
        <w:tc>
          <w:tcPr>
            <w:tcW w:w="1310" w:type="dxa"/>
            <w:tcBorders>
              <w:top w:val="nil"/>
              <w:left w:val="nil"/>
              <w:bottom w:val="single" w:sz="4" w:space="0" w:color="auto"/>
              <w:right w:val="single" w:sz="4" w:space="0" w:color="auto"/>
            </w:tcBorders>
            <w:noWrap/>
            <w:vAlign w:val="center"/>
            <w:hideMark/>
          </w:tcPr>
          <w:p w14:paraId="535140C7"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0,999151179</w:t>
            </w:r>
          </w:p>
        </w:tc>
        <w:tc>
          <w:tcPr>
            <w:tcW w:w="1312" w:type="dxa"/>
            <w:tcBorders>
              <w:top w:val="nil"/>
              <w:left w:val="nil"/>
              <w:bottom w:val="single" w:sz="4" w:space="0" w:color="auto"/>
              <w:right w:val="single" w:sz="4" w:space="0" w:color="auto"/>
            </w:tcBorders>
            <w:noWrap/>
            <w:vAlign w:val="center"/>
            <w:hideMark/>
          </w:tcPr>
          <w:p w14:paraId="6F2EE490"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3267,171801</w:t>
            </w:r>
          </w:p>
        </w:tc>
      </w:tr>
      <w:tr w:rsidR="001278DB" w:rsidRPr="001278DB" w14:paraId="4E704F49"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1B9746B1"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157FA3BC"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Juillet</w:t>
            </w:r>
          </w:p>
        </w:tc>
        <w:tc>
          <w:tcPr>
            <w:tcW w:w="701" w:type="dxa"/>
            <w:tcBorders>
              <w:top w:val="nil"/>
              <w:left w:val="nil"/>
              <w:bottom w:val="single" w:sz="4" w:space="0" w:color="auto"/>
              <w:right w:val="single" w:sz="4" w:space="0" w:color="auto"/>
            </w:tcBorders>
            <w:noWrap/>
            <w:vAlign w:val="center"/>
            <w:hideMark/>
          </w:tcPr>
          <w:p w14:paraId="5CB915F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187</w:t>
            </w:r>
          </w:p>
        </w:tc>
        <w:tc>
          <w:tcPr>
            <w:tcW w:w="1087" w:type="dxa"/>
            <w:tcBorders>
              <w:top w:val="nil"/>
              <w:left w:val="nil"/>
              <w:bottom w:val="single" w:sz="4" w:space="0" w:color="auto"/>
              <w:right w:val="single" w:sz="4" w:space="0" w:color="auto"/>
            </w:tcBorders>
            <w:noWrap/>
            <w:vAlign w:val="center"/>
            <w:hideMark/>
          </w:tcPr>
          <w:p w14:paraId="438BDD06"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3315,0811</w:t>
            </w:r>
          </w:p>
        </w:tc>
        <w:tc>
          <w:tcPr>
            <w:tcW w:w="1310" w:type="dxa"/>
            <w:tcBorders>
              <w:top w:val="nil"/>
              <w:left w:val="nil"/>
              <w:bottom w:val="single" w:sz="4" w:space="0" w:color="auto"/>
              <w:right w:val="single" w:sz="4" w:space="0" w:color="auto"/>
            </w:tcBorders>
            <w:noWrap/>
            <w:vAlign w:val="center"/>
            <w:hideMark/>
          </w:tcPr>
          <w:p w14:paraId="67AB0F89"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0,997865455</w:t>
            </w:r>
          </w:p>
        </w:tc>
        <w:tc>
          <w:tcPr>
            <w:tcW w:w="1312" w:type="dxa"/>
            <w:tcBorders>
              <w:top w:val="nil"/>
              <w:left w:val="nil"/>
              <w:bottom w:val="single" w:sz="4" w:space="0" w:color="auto"/>
              <w:right w:val="single" w:sz="4" w:space="0" w:color="auto"/>
            </w:tcBorders>
            <w:noWrap/>
            <w:vAlign w:val="center"/>
            <w:hideMark/>
          </w:tcPr>
          <w:p w14:paraId="287FEB3D"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3308,004911</w:t>
            </w:r>
          </w:p>
        </w:tc>
      </w:tr>
      <w:tr w:rsidR="001278DB" w:rsidRPr="001278DB" w14:paraId="3F38EB92"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459E9257"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6F60DFE1"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 xml:space="preserve">Aout </w:t>
            </w:r>
          </w:p>
        </w:tc>
        <w:tc>
          <w:tcPr>
            <w:tcW w:w="701" w:type="dxa"/>
            <w:tcBorders>
              <w:top w:val="nil"/>
              <w:left w:val="nil"/>
              <w:bottom w:val="single" w:sz="4" w:space="0" w:color="auto"/>
              <w:right w:val="single" w:sz="4" w:space="0" w:color="auto"/>
            </w:tcBorders>
            <w:noWrap/>
            <w:vAlign w:val="center"/>
            <w:hideMark/>
          </w:tcPr>
          <w:p w14:paraId="7279B77E"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188</w:t>
            </w:r>
          </w:p>
        </w:tc>
        <w:tc>
          <w:tcPr>
            <w:tcW w:w="1087" w:type="dxa"/>
            <w:tcBorders>
              <w:top w:val="nil"/>
              <w:left w:val="nil"/>
              <w:bottom w:val="single" w:sz="4" w:space="0" w:color="auto"/>
              <w:right w:val="single" w:sz="4" w:space="0" w:color="auto"/>
            </w:tcBorders>
            <w:noWrap/>
            <w:vAlign w:val="center"/>
            <w:hideMark/>
          </w:tcPr>
          <w:p w14:paraId="4281473F"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3360,8292</w:t>
            </w:r>
          </w:p>
        </w:tc>
        <w:tc>
          <w:tcPr>
            <w:tcW w:w="1310" w:type="dxa"/>
            <w:tcBorders>
              <w:top w:val="nil"/>
              <w:left w:val="nil"/>
              <w:bottom w:val="single" w:sz="4" w:space="0" w:color="auto"/>
              <w:right w:val="single" w:sz="4" w:space="0" w:color="auto"/>
            </w:tcBorders>
            <w:noWrap/>
            <w:vAlign w:val="center"/>
            <w:hideMark/>
          </w:tcPr>
          <w:p w14:paraId="74971A1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1,016396988</w:t>
            </w:r>
          </w:p>
        </w:tc>
        <w:tc>
          <w:tcPr>
            <w:tcW w:w="1312" w:type="dxa"/>
            <w:tcBorders>
              <w:top w:val="nil"/>
              <w:left w:val="nil"/>
              <w:bottom w:val="single" w:sz="4" w:space="0" w:color="auto"/>
              <w:right w:val="single" w:sz="4" w:space="0" w:color="auto"/>
            </w:tcBorders>
            <w:noWrap/>
            <w:vAlign w:val="center"/>
            <w:hideMark/>
          </w:tcPr>
          <w:p w14:paraId="63D00ABD"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3415,936677</w:t>
            </w:r>
          </w:p>
        </w:tc>
      </w:tr>
      <w:tr w:rsidR="001278DB" w:rsidRPr="001278DB" w14:paraId="1514B413"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05B223FF"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1E1BACF4"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Septembre</w:t>
            </w:r>
          </w:p>
        </w:tc>
        <w:tc>
          <w:tcPr>
            <w:tcW w:w="701" w:type="dxa"/>
            <w:tcBorders>
              <w:top w:val="nil"/>
              <w:left w:val="nil"/>
              <w:bottom w:val="single" w:sz="4" w:space="0" w:color="auto"/>
              <w:right w:val="single" w:sz="4" w:space="0" w:color="auto"/>
            </w:tcBorders>
            <w:noWrap/>
            <w:vAlign w:val="center"/>
            <w:hideMark/>
          </w:tcPr>
          <w:p w14:paraId="26C6D2C6"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189</w:t>
            </w:r>
          </w:p>
        </w:tc>
        <w:tc>
          <w:tcPr>
            <w:tcW w:w="1087" w:type="dxa"/>
            <w:tcBorders>
              <w:top w:val="nil"/>
              <w:left w:val="nil"/>
              <w:bottom w:val="single" w:sz="4" w:space="0" w:color="auto"/>
              <w:right w:val="single" w:sz="4" w:space="0" w:color="auto"/>
            </w:tcBorders>
            <w:noWrap/>
            <w:vAlign w:val="center"/>
            <w:hideMark/>
          </w:tcPr>
          <w:p w14:paraId="3490D05F"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3407,1953</w:t>
            </w:r>
          </w:p>
        </w:tc>
        <w:tc>
          <w:tcPr>
            <w:tcW w:w="1310" w:type="dxa"/>
            <w:tcBorders>
              <w:top w:val="nil"/>
              <w:left w:val="nil"/>
              <w:bottom w:val="single" w:sz="4" w:space="0" w:color="auto"/>
              <w:right w:val="single" w:sz="4" w:space="0" w:color="auto"/>
            </w:tcBorders>
            <w:noWrap/>
            <w:vAlign w:val="center"/>
            <w:hideMark/>
          </w:tcPr>
          <w:p w14:paraId="32968934"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1,021340196</w:t>
            </w:r>
          </w:p>
        </w:tc>
        <w:tc>
          <w:tcPr>
            <w:tcW w:w="1312" w:type="dxa"/>
            <w:tcBorders>
              <w:top w:val="nil"/>
              <w:left w:val="nil"/>
              <w:bottom w:val="single" w:sz="4" w:space="0" w:color="auto"/>
              <w:right w:val="single" w:sz="4" w:space="0" w:color="auto"/>
            </w:tcBorders>
            <w:noWrap/>
            <w:vAlign w:val="center"/>
            <w:hideMark/>
          </w:tcPr>
          <w:p w14:paraId="541A6EAD"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3479,905517</w:t>
            </w:r>
          </w:p>
        </w:tc>
      </w:tr>
      <w:tr w:rsidR="001278DB" w:rsidRPr="001278DB" w14:paraId="4AD349B0"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564CEC7B"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601911A2"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Octobre</w:t>
            </w:r>
          </w:p>
        </w:tc>
        <w:tc>
          <w:tcPr>
            <w:tcW w:w="701" w:type="dxa"/>
            <w:tcBorders>
              <w:top w:val="nil"/>
              <w:left w:val="nil"/>
              <w:bottom w:val="single" w:sz="4" w:space="0" w:color="auto"/>
              <w:right w:val="single" w:sz="4" w:space="0" w:color="auto"/>
            </w:tcBorders>
            <w:noWrap/>
            <w:vAlign w:val="center"/>
            <w:hideMark/>
          </w:tcPr>
          <w:p w14:paraId="3CC663B8"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190</w:t>
            </w:r>
          </w:p>
        </w:tc>
        <w:tc>
          <w:tcPr>
            <w:tcW w:w="1087" w:type="dxa"/>
            <w:tcBorders>
              <w:top w:val="nil"/>
              <w:left w:val="nil"/>
              <w:bottom w:val="single" w:sz="4" w:space="0" w:color="auto"/>
              <w:right w:val="single" w:sz="4" w:space="0" w:color="auto"/>
            </w:tcBorders>
            <w:noWrap/>
            <w:vAlign w:val="center"/>
            <w:hideMark/>
          </w:tcPr>
          <w:p w14:paraId="21EC6AF4"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3454,183</w:t>
            </w:r>
          </w:p>
        </w:tc>
        <w:tc>
          <w:tcPr>
            <w:tcW w:w="1310" w:type="dxa"/>
            <w:tcBorders>
              <w:top w:val="nil"/>
              <w:left w:val="nil"/>
              <w:bottom w:val="single" w:sz="4" w:space="0" w:color="auto"/>
              <w:right w:val="single" w:sz="4" w:space="0" w:color="auto"/>
            </w:tcBorders>
            <w:noWrap/>
            <w:vAlign w:val="center"/>
            <w:hideMark/>
          </w:tcPr>
          <w:p w14:paraId="05CFD5B5"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1,017732527</w:t>
            </w:r>
          </w:p>
        </w:tc>
        <w:tc>
          <w:tcPr>
            <w:tcW w:w="1312" w:type="dxa"/>
            <w:tcBorders>
              <w:top w:val="nil"/>
              <w:left w:val="nil"/>
              <w:bottom w:val="single" w:sz="4" w:space="0" w:color="auto"/>
              <w:right w:val="single" w:sz="4" w:space="0" w:color="auto"/>
            </w:tcBorders>
            <w:noWrap/>
            <w:vAlign w:val="center"/>
            <w:hideMark/>
          </w:tcPr>
          <w:p w14:paraId="114623AC"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3515,434393</w:t>
            </w:r>
          </w:p>
        </w:tc>
      </w:tr>
      <w:tr w:rsidR="001278DB" w:rsidRPr="001278DB" w14:paraId="41730E82"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26BEB45D"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7D1A1BF0"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 xml:space="preserve">Novembre </w:t>
            </w:r>
          </w:p>
        </w:tc>
        <w:tc>
          <w:tcPr>
            <w:tcW w:w="701" w:type="dxa"/>
            <w:tcBorders>
              <w:top w:val="nil"/>
              <w:left w:val="nil"/>
              <w:bottom w:val="single" w:sz="4" w:space="0" w:color="auto"/>
              <w:right w:val="single" w:sz="4" w:space="0" w:color="auto"/>
            </w:tcBorders>
            <w:noWrap/>
            <w:vAlign w:val="center"/>
            <w:hideMark/>
          </w:tcPr>
          <w:p w14:paraId="6DAEC351"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191</w:t>
            </w:r>
          </w:p>
        </w:tc>
        <w:tc>
          <w:tcPr>
            <w:tcW w:w="1087" w:type="dxa"/>
            <w:tcBorders>
              <w:top w:val="nil"/>
              <w:left w:val="nil"/>
              <w:bottom w:val="single" w:sz="4" w:space="0" w:color="auto"/>
              <w:right w:val="single" w:sz="4" w:space="0" w:color="auto"/>
            </w:tcBorders>
            <w:noWrap/>
            <w:vAlign w:val="center"/>
            <w:hideMark/>
          </w:tcPr>
          <w:p w14:paraId="6487E173"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3501,7959</w:t>
            </w:r>
          </w:p>
        </w:tc>
        <w:tc>
          <w:tcPr>
            <w:tcW w:w="1310" w:type="dxa"/>
            <w:tcBorders>
              <w:top w:val="nil"/>
              <w:left w:val="nil"/>
              <w:bottom w:val="single" w:sz="4" w:space="0" w:color="auto"/>
              <w:right w:val="single" w:sz="4" w:space="0" w:color="auto"/>
            </w:tcBorders>
            <w:noWrap/>
            <w:vAlign w:val="center"/>
            <w:hideMark/>
          </w:tcPr>
          <w:p w14:paraId="4BE0EFB0"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0,986717025</w:t>
            </w:r>
          </w:p>
        </w:tc>
        <w:tc>
          <w:tcPr>
            <w:tcW w:w="1312" w:type="dxa"/>
            <w:tcBorders>
              <w:top w:val="nil"/>
              <w:left w:val="nil"/>
              <w:bottom w:val="single" w:sz="4" w:space="0" w:color="auto"/>
              <w:right w:val="single" w:sz="4" w:space="0" w:color="auto"/>
            </w:tcBorders>
            <w:noWrap/>
            <w:vAlign w:val="center"/>
            <w:hideMark/>
          </w:tcPr>
          <w:p w14:paraId="0F5816E5"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3455,281634</w:t>
            </w:r>
          </w:p>
        </w:tc>
      </w:tr>
      <w:tr w:rsidR="001278DB" w:rsidRPr="001278DB" w14:paraId="48FFBBA7" w14:textId="77777777" w:rsidTr="001278DB">
        <w:trPr>
          <w:trHeight w:val="300"/>
        </w:trPr>
        <w:tc>
          <w:tcPr>
            <w:tcW w:w="720" w:type="dxa"/>
            <w:vMerge/>
            <w:tcBorders>
              <w:top w:val="nil"/>
              <w:left w:val="single" w:sz="4" w:space="0" w:color="auto"/>
              <w:bottom w:val="single" w:sz="4" w:space="0" w:color="auto"/>
              <w:right w:val="single" w:sz="4" w:space="0" w:color="auto"/>
            </w:tcBorders>
            <w:vAlign w:val="center"/>
            <w:hideMark/>
          </w:tcPr>
          <w:p w14:paraId="7600575B" w14:textId="77777777" w:rsidR="001278DB" w:rsidRPr="001278DB" w:rsidRDefault="001278DB" w:rsidP="001278DB">
            <w:pPr>
              <w:spacing w:after="0" w:line="240" w:lineRule="auto"/>
              <w:rPr>
                <w:rFonts w:ascii="Calibri" w:eastAsia="Times New Roman" w:hAnsi="Calibri" w:cs="Calibri"/>
                <w:color w:val="000000"/>
                <w:kern w:val="0"/>
                <w:lang w:eastAsia="fr-FR"/>
                <w14:ligatures w14:val="none"/>
              </w:rPr>
            </w:pPr>
          </w:p>
        </w:tc>
        <w:tc>
          <w:tcPr>
            <w:tcW w:w="1140" w:type="dxa"/>
            <w:tcBorders>
              <w:top w:val="nil"/>
              <w:left w:val="nil"/>
              <w:bottom w:val="single" w:sz="4" w:space="0" w:color="auto"/>
              <w:right w:val="single" w:sz="4" w:space="0" w:color="auto"/>
            </w:tcBorders>
            <w:noWrap/>
            <w:vAlign w:val="center"/>
            <w:hideMark/>
          </w:tcPr>
          <w:p w14:paraId="06243EDD" w14:textId="244E29F0" w:rsidR="001278DB" w:rsidRPr="001278DB" w:rsidRDefault="00B90525"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Décembre</w:t>
            </w:r>
          </w:p>
        </w:tc>
        <w:tc>
          <w:tcPr>
            <w:tcW w:w="701" w:type="dxa"/>
            <w:tcBorders>
              <w:top w:val="nil"/>
              <w:left w:val="nil"/>
              <w:bottom w:val="single" w:sz="4" w:space="0" w:color="auto"/>
              <w:right w:val="single" w:sz="4" w:space="0" w:color="auto"/>
            </w:tcBorders>
            <w:noWrap/>
            <w:vAlign w:val="center"/>
            <w:hideMark/>
          </w:tcPr>
          <w:p w14:paraId="378C610E"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192</w:t>
            </w:r>
          </w:p>
        </w:tc>
        <w:tc>
          <w:tcPr>
            <w:tcW w:w="1087" w:type="dxa"/>
            <w:tcBorders>
              <w:top w:val="nil"/>
              <w:left w:val="nil"/>
              <w:bottom w:val="single" w:sz="4" w:space="0" w:color="auto"/>
              <w:right w:val="single" w:sz="4" w:space="0" w:color="auto"/>
            </w:tcBorders>
            <w:noWrap/>
            <w:vAlign w:val="center"/>
            <w:hideMark/>
          </w:tcPr>
          <w:p w14:paraId="1F74157A"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3550,0376</w:t>
            </w:r>
          </w:p>
        </w:tc>
        <w:tc>
          <w:tcPr>
            <w:tcW w:w="1310" w:type="dxa"/>
            <w:tcBorders>
              <w:top w:val="nil"/>
              <w:left w:val="nil"/>
              <w:bottom w:val="single" w:sz="4" w:space="0" w:color="auto"/>
              <w:right w:val="single" w:sz="4" w:space="0" w:color="auto"/>
            </w:tcBorders>
            <w:noWrap/>
            <w:vAlign w:val="center"/>
            <w:hideMark/>
          </w:tcPr>
          <w:p w14:paraId="4368B66C" w14:textId="77777777" w:rsidR="001278DB" w:rsidRPr="001278DB" w:rsidRDefault="001278DB" w:rsidP="001278DB">
            <w:pPr>
              <w:spacing w:after="0" w:line="240" w:lineRule="auto"/>
              <w:jc w:val="center"/>
              <w:rPr>
                <w:rFonts w:ascii="Calibri" w:eastAsia="Times New Roman" w:hAnsi="Calibri" w:cs="Calibri"/>
                <w:color w:val="000000"/>
                <w:kern w:val="0"/>
                <w:lang w:eastAsia="fr-FR"/>
                <w14:ligatures w14:val="none"/>
              </w:rPr>
            </w:pPr>
            <w:r w:rsidRPr="001278DB">
              <w:rPr>
                <w:rFonts w:ascii="Calibri" w:eastAsia="Times New Roman" w:hAnsi="Calibri" w:cs="Calibri"/>
                <w:color w:val="000000"/>
                <w:kern w:val="0"/>
                <w:lang w:eastAsia="fr-FR"/>
                <w14:ligatures w14:val="none"/>
              </w:rPr>
              <w:t>0,973888129</w:t>
            </w:r>
          </w:p>
        </w:tc>
        <w:tc>
          <w:tcPr>
            <w:tcW w:w="1312" w:type="dxa"/>
            <w:tcBorders>
              <w:top w:val="nil"/>
              <w:left w:val="nil"/>
              <w:bottom w:val="single" w:sz="4" w:space="0" w:color="auto"/>
              <w:right w:val="single" w:sz="4" w:space="0" w:color="auto"/>
            </w:tcBorders>
            <w:noWrap/>
            <w:vAlign w:val="center"/>
            <w:hideMark/>
          </w:tcPr>
          <w:p w14:paraId="232B238E" w14:textId="77777777" w:rsidR="001278DB" w:rsidRPr="001278DB" w:rsidRDefault="001278DB" w:rsidP="001278DB">
            <w:pPr>
              <w:spacing w:after="0" w:line="240" w:lineRule="auto"/>
              <w:jc w:val="center"/>
              <w:rPr>
                <w:rFonts w:ascii="Calibri" w:eastAsia="Times New Roman" w:hAnsi="Calibri" w:cs="Calibri"/>
                <w:b/>
                <w:bCs/>
                <w:color w:val="000000"/>
                <w:kern w:val="0"/>
                <w:lang w:eastAsia="fr-FR"/>
                <w14:ligatures w14:val="none"/>
              </w:rPr>
            </w:pPr>
            <w:r w:rsidRPr="001278DB">
              <w:rPr>
                <w:rFonts w:ascii="Calibri" w:eastAsia="Times New Roman" w:hAnsi="Calibri" w:cs="Calibri"/>
                <w:b/>
                <w:bCs/>
                <w:color w:val="000000"/>
                <w:kern w:val="0"/>
                <w:lang w:eastAsia="fr-FR"/>
                <w14:ligatures w14:val="none"/>
              </w:rPr>
              <w:t>3457,339476</w:t>
            </w:r>
          </w:p>
        </w:tc>
      </w:tr>
    </w:tbl>
    <w:p w14:paraId="3925FA88" w14:textId="77777777" w:rsidR="00BA3131" w:rsidRDefault="00BA3131" w:rsidP="00873028">
      <w:pPr>
        <w:tabs>
          <w:tab w:val="left" w:pos="7350"/>
        </w:tabs>
        <w:jc w:val="both"/>
      </w:pPr>
    </w:p>
    <w:p w14:paraId="12F21B7D" w14:textId="313EE84E" w:rsidR="00BA3131" w:rsidRDefault="00BA3131" w:rsidP="00873028">
      <w:pPr>
        <w:tabs>
          <w:tab w:val="left" w:pos="7350"/>
        </w:tabs>
        <w:jc w:val="both"/>
      </w:pPr>
    </w:p>
    <w:p w14:paraId="3DE981CD" w14:textId="0C1D1ADE" w:rsidR="00FF2FEE" w:rsidRPr="00E2243A" w:rsidRDefault="00FF2FEE" w:rsidP="00873028">
      <w:pPr>
        <w:tabs>
          <w:tab w:val="left" w:pos="7350"/>
        </w:tabs>
        <w:jc w:val="both"/>
      </w:pPr>
    </w:p>
    <w:p w14:paraId="0941994D" w14:textId="4C89B56F" w:rsidR="00FA694A" w:rsidRPr="00877829" w:rsidRDefault="00FA694A" w:rsidP="00B62E87">
      <w:pPr>
        <w:jc w:val="both"/>
      </w:pPr>
    </w:p>
    <w:p w14:paraId="605BC623" w14:textId="6806427F" w:rsidR="00275A96" w:rsidRPr="00877829" w:rsidRDefault="00275A96" w:rsidP="00177257">
      <w:pPr>
        <w:jc w:val="both"/>
      </w:pPr>
    </w:p>
    <w:p w14:paraId="47301CD7" w14:textId="4F605A9E" w:rsidR="00275A96" w:rsidRPr="00877829" w:rsidRDefault="00275A96" w:rsidP="00177257">
      <w:pPr>
        <w:jc w:val="both"/>
      </w:pPr>
    </w:p>
    <w:p w14:paraId="771E0EE1" w14:textId="22A02D13" w:rsidR="00275A96" w:rsidRPr="00877829" w:rsidRDefault="00275A96" w:rsidP="00177257">
      <w:pPr>
        <w:jc w:val="both"/>
      </w:pPr>
    </w:p>
    <w:p w14:paraId="108507DB" w14:textId="2C0C7F58" w:rsidR="00275A96" w:rsidRPr="00877829" w:rsidRDefault="00275A96" w:rsidP="00177257">
      <w:pPr>
        <w:jc w:val="both"/>
      </w:pPr>
    </w:p>
    <w:p w14:paraId="262381BA" w14:textId="77777777" w:rsidR="00275A96" w:rsidRPr="00877829" w:rsidRDefault="00275A96" w:rsidP="00177257">
      <w:pPr>
        <w:jc w:val="both"/>
      </w:pPr>
    </w:p>
    <w:p w14:paraId="65F7AB50" w14:textId="77777777" w:rsidR="00275A96" w:rsidRPr="00877829" w:rsidRDefault="00275A96" w:rsidP="00177257">
      <w:pPr>
        <w:jc w:val="both"/>
      </w:pPr>
    </w:p>
    <w:p w14:paraId="24E36018" w14:textId="77777777" w:rsidR="00275A96" w:rsidRDefault="00275A96" w:rsidP="00177257">
      <w:pPr>
        <w:jc w:val="both"/>
      </w:pPr>
    </w:p>
    <w:p w14:paraId="2D624632" w14:textId="77777777" w:rsidR="00FE7251" w:rsidRDefault="00FE7251" w:rsidP="00FE7251">
      <w:pPr>
        <w:jc w:val="both"/>
      </w:pPr>
      <w:r>
        <w:lastRenderedPageBreak/>
        <w:t xml:space="preserve">Conclusion : </w:t>
      </w:r>
    </w:p>
    <w:p w14:paraId="66C53FBE" w14:textId="6DF6BA9F" w:rsidR="00FE7251" w:rsidRPr="00FE7251" w:rsidRDefault="00FE7251" w:rsidP="00FE7251">
      <w:pPr>
        <w:jc w:val="both"/>
      </w:pPr>
      <w:r w:rsidRPr="00FE7251">
        <w:t>L’analyse du cours de l’or entre 2011 et 2025 montre une tendance haussière globale, accompagnée de fluctuations saisonnières et de valeurs atypiques ponctuelles. La modélisation polynomiale de degré 3, corrigée par des coefficients saisonniers, s’avère la plus pertinente pour reproduire la tendance générale et la saisonnalité.</w:t>
      </w:r>
      <w:r>
        <w:t xml:space="preserve"> </w:t>
      </w:r>
      <w:r w:rsidRPr="00FE7251">
        <w:t>Cependant, certaines variations extrêmes restent difficiles à prévoir, et les résidus indiquent que le modèle ne capture pas parfaitement toutes les fluctuations. Les prévisions pour fin 2025 et 2026 doivent donc être considérées comme des estimations indicatives, utiles pour anticiper la tendance générale et les pics saisonniers, mais à interpréter avec prudence pour les valeurs ponctuelles.</w:t>
      </w:r>
      <w:r>
        <w:t xml:space="preserve"> </w:t>
      </w:r>
      <w:r w:rsidRPr="00FE7251">
        <w:t>Ces résultats confirment le rôle stratégique de l’or comme actif refuge et indicateur de confiance des marchés, tout en soulignant les limites des modèles statistiques face à la complexité et la volatilité des marchés financiers.</w:t>
      </w:r>
    </w:p>
    <w:p w14:paraId="4DB647FB" w14:textId="47E9F475" w:rsidR="007D295D" w:rsidRPr="00877829" w:rsidRDefault="007D295D" w:rsidP="00177257">
      <w:pPr>
        <w:jc w:val="both"/>
        <w:rPr>
          <w:lang w:val="en-US"/>
        </w:rPr>
      </w:pPr>
      <w:proofErr w:type="gramStart"/>
      <w:r w:rsidRPr="00877829">
        <w:rPr>
          <w:lang w:val="en-US"/>
        </w:rPr>
        <w:t>Annex :</w:t>
      </w:r>
      <w:proofErr w:type="gramEnd"/>
      <w:r w:rsidRPr="00877829">
        <w:rPr>
          <w:lang w:val="en-US"/>
        </w:rPr>
        <w:t xml:space="preserve"> </w:t>
      </w:r>
      <w:r w:rsidR="00511E3A" w:rsidRPr="00877829">
        <w:rPr>
          <w:lang w:val="en-US"/>
        </w:rPr>
        <w:t>https://data.imf.org/en</w:t>
      </w:r>
    </w:p>
    <w:p w14:paraId="2767F537" w14:textId="72870FC0" w:rsidR="0058011C" w:rsidRPr="00877829" w:rsidRDefault="0058011C" w:rsidP="006C68C1">
      <w:pPr>
        <w:jc w:val="both"/>
        <w:rPr>
          <w:lang w:val="en-US"/>
        </w:rPr>
      </w:pPr>
    </w:p>
    <w:sectPr w:rsidR="0058011C" w:rsidRPr="008778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7E3"/>
    <w:rsid w:val="00002E68"/>
    <w:rsid w:val="00004F1F"/>
    <w:rsid w:val="00071F3C"/>
    <w:rsid w:val="00073289"/>
    <w:rsid w:val="00095379"/>
    <w:rsid w:val="000F18A3"/>
    <w:rsid w:val="000F5E51"/>
    <w:rsid w:val="000F6DF6"/>
    <w:rsid w:val="00125462"/>
    <w:rsid w:val="00126418"/>
    <w:rsid w:val="001278DB"/>
    <w:rsid w:val="001312F5"/>
    <w:rsid w:val="001437E2"/>
    <w:rsid w:val="00174C06"/>
    <w:rsid w:val="00177257"/>
    <w:rsid w:val="001B558F"/>
    <w:rsid w:val="0020201D"/>
    <w:rsid w:val="0021724E"/>
    <w:rsid w:val="00220278"/>
    <w:rsid w:val="00244978"/>
    <w:rsid w:val="002545E5"/>
    <w:rsid w:val="00275A96"/>
    <w:rsid w:val="00283FBE"/>
    <w:rsid w:val="002B50E7"/>
    <w:rsid w:val="002C677C"/>
    <w:rsid w:val="002D3C53"/>
    <w:rsid w:val="002E36DB"/>
    <w:rsid w:val="00346E07"/>
    <w:rsid w:val="00394189"/>
    <w:rsid w:val="003D3683"/>
    <w:rsid w:val="003E5B92"/>
    <w:rsid w:val="003F3952"/>
    <w:rsid w:val="00406C7A"/>
    <w:rsid w:val="00423581"/>
    <w:rsid w:val="0044412F"/>
    <w:rsid w:val="00460929"/>
    <w:rsid w:val="004A1478"/>
    <w:rsid w:val="004B6CCC"/>
    <w:rsid w:val="004C2873"/>
    <w:rsid w:val="004E7671"/>
    <w:rsid w:val="004F324F"/>
    <w:rsid w:val="00511E3A"/>
    <w:rsid w:val="00553090"/>
    <w:rsid w:val="00565CE6"/>
    <w:rsid w:val="0058011C"/>
    <w:rsid w:val="005C1C02"/>
    <w:rsid w:val="005D6C98"/>
    <w:rsid w:val="005E2FCC"/>
    <w:rsid w:val="005E397C"/>
    <w:rsid w:val="00654E8A"/>
    <w:rsid w:val="006A47E3"/>
    <w:rsid w:val="006C68C1"/>
    <w:rsid w:val="006D68ED"/>
    <w:rsid w:val="006F04A1"/>
    <w:rsid w:val="006F1B23"/>
    <w:rsid w:val="0070399F"/>
    <w:rsid w:val="00754225"/>
    <w:rsid w:val="00757A63"/>
    <w:rsid w:val="00760292"/>
    <w:rsid w:val="00761E0F"/>
    <w:rsid w:val="0076305E"/>
    <w:rsid w:val="007B24D1"/>
    <w:rsid w:val="007D295D"/>
    <w:rsid w:val="007F7971"/>
    <w:rsid w:val="00873028"/>
    <w:rsid w:val="00873A41"/>
    <w:rsid w:val="00874836"/>
    <w:rsid w:val="00877829"/>
    <w:rsid w:val="00890708"/>
    <w:rsid w:val="008A58CB"/>
    <w:rsid w:val="008C4C08"/>
    <w:rsid w:val="008C7EF4"/>
    <w:rsid w:val="008D3F59"/>
    <w:rsid w:val="009213CE"/>
    <w:rsid w:val="00922B4C"/>
    <w:rsid w:val="009439ED"/>
    <w:rsid w:val="009470F8"/>
    <w:rsid w:val="00983D94"/>
    <w:rsid w:val="009B1C6B"/>
    <w:rsid w:val="009C4627"/>
    <w:rsid w:val="009D7A0B"/>
    <w:rsid w:val="009E4E0A"/>
    <w:rsid w:val="009E5569"/>
    <w:rsid w:val="009F031E"/>
    <w:rsid w:val="009F7A20"/>
    <w:rsid w:val="00A12112"/>
    <w:rsid w:val="00A55D08"/>
    <w:rsid w:val="00A702BC"/>
    <w:rsid w:val="00AA763B"/>
    <w:rsid w:val="00AD27C0"/>
    <w:rsid w:val="00AD603C"/>
    <w:rsid w:val="00AF0EF9"/>
    <w:rsid w:val="00B25F30"/>
    <w:rsid w:val="00B62E87"/>
    <w:rsid w:val="00B724CB"/>
    <w:rsid w:val="00B90525"/>
    <w:rsid w:val="00BA0247"/>
    <w:rsid w:val="00BA3131"/>
    <w:rsid w:val="00BB3770"/>
    <w:rsid w:val="00BD1884"/>
    <w:rsid w:val="00BE3220"/>
    <w:rsid w:val="00C0282A"/>
    <w:rsid w:val="00C0506C"/>
    <w:rsid w:val="00C511C6"/>
    <w:rsid w:val="00C75213"/>
    <w:rsid w:val="00C801D6"/>
    <w:rsid w:val="00C83AAD"/>
    <w:rsid w:val="00CB356C"/>
    <w:rsid w:val="00CF6F98"/>
    <w:rsid w:val="00D012FD"/>
    <w:rsid w:val="00D027FA"/>
    <w:rsid w:val="00DC2861"/>
    <w:rsid w:val="00DD4A45"/>
    <w:rsid w:val="00DD539C"/>
    <w:rsid w:val="00DE02C5"/>
    <w:rsid w:val="00DF0C84"/>
    <w:rsid w:val="00E131CA"/>
    <w:rsid w:val="00E2243A"/>
    <w:rsid w:val="00E56265"/>
    <w:rsid w:val="00EF2B8D"/>
    <w:rsid w:val="00EF5541"/>
    <w:rsid w:val="00F36613"/>
    <w:rsid w:val="00F41968"/>
    <w:rsid w:val="00F477F8"/>
    <w:rsid w:val="00F60EDA"/>
    <w:rsid w:val="00F64DB9"/>
    <w:rsid w:val="00F95C47"/>
    <w:rsid w:val="00FA694A"/>
    <w:rsid w:val="00FB118A"/>
    <w:rsid w:val="00FC5DC9"/>
    <w:rsid w:val="00FE52D7"/>
    <w:rsid w:val="00FE7251"/>
    <w:rsid w:val="00FF2FEE"/>
    <w:rsid w:val="00FF48FC"/>
    <w:rsid w:val="00FF55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2D9C4"/>
  <w15:chartTrackingRefBased/>
  <w15:docId w15:val="{627A2395-406B-4FC8-8AD1-CD904FA33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A4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A4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A47E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A47E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A47E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A47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47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47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47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47E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A47E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A47E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A47E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A47E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A47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47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47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47E3"/>
    <w:rPr>
      <w:rFonts w:eastAsiaTheme="majorEastAsia" w:cstheme="majorBidi"/>
      <w:color w:val="272727" w:themeColor="text1" w:themeTint="D8"/>
    </w:rPr>
  </w:style>
  <w:style w:type="paragraph" w:styleId="Titre">
    <w:name w:val="Title"/>
    <w:basedOn w:val="Normal"/>
    <w:next w:val="Normal"/>
    <w:link w:val="TitreCar"/>
    <w:uiPriority w:val="10"/>
    <w:qFormat/>
    <w:rsid w:val="006A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47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47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47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47E3"/>
    <w:pPr>
      <w:spacing w:before="160"/>
      <w:jc w:val="center"/>
    </w:pPr>
    <w:rPr>
      <w:i/>
      <w:iCs/>
      <w:color w:val="404040" w:themeColor="text1" w:themeTint="BF"/>
    </w:rPr>
  </w:style>
  <w:style w:type="character" w:customStyle="1" w:styleId="CitationCar">
    <w:name w:val="Citation Car"/>
    <w:basedOn w:val="Policepardfaut"/>
    <w:link w:val="Citation"/>
    <w:uiPriority w:val="29"/>
    <w:rsid w:val="006A47E3"/>
    <w:rPr>
      <w:i/>
      <w:iCs/>
      <w:color w:val="404040" w:themeColor="text1" w:themeTint="BF"/>
    </w:rPr>
  </w:style>
  <w:style w:type="paragraph" w:styleId="Paragraphedeliste">
    <w:name w:val="List Paragraph"/>
    <w:basedOn w:val="Normal"/>
    <w:uiPriority w:val="34"/>
    <w:qFormat/>
    <w:rsid w:val="006A47E3"/>
    <w:pPr>
      <w:ind w:left="720"/>
      <w:contextualSpacing/>
    </w:pPr>
  </w:style>
  <w:style w:type="character" w:styleId="Accentuationintense">
    <w:name w:val="Intense Emphasis"/>
    <w:basedOn w:val="Policepardfaut"/>
    <w:uiPriority w:val="21"/>
    <w:qFormat/>
    <w:rsid w:val="006A47E3"/>
    <w:rPr>
      <w:i/>
      <w:iCs/>
      <w:color w:val="2F5496" w:themeColor="accent1" w:themeShade="BF"/>
    </w:rPr>
  </w:style>
  <w:style w:type="paragraph" w:styleId="Citationintense">
    <w:name w:val="Intense Quote"/>
    <w:basedOn w:val="Normal"/>
    <w:next w:val="Normal"/>
    <w:link w:val="CitationintenseCar"/>
    <w:uiPriority w:val="30"/>
    <w:qFormat/>
    <w:rsid w:val="006A4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A47E3"/>
    <w:rPr>
      <w:i/>
      <w:iCs/>
      <w:color w:val="2F5496" w:themeColor="accent1" w:themeShade="BF"/>
    </w:rPr>
  </w:style>
  <w:style w:type="character" w:styleId="Rfrenceintense">
    <w:name w:val="Intense Reference"/>
    <w:basedOn w:val="Policepardfaut"/>
    <w:uiPriority w:val="32"/>
    <w:qFormat/>
    <w:rsid w:val="006A47E3"/>
    <w:rPr>
      <w:b/>
      <w:bCs/>
      <w:smallCaps/>
      <w:color w:val="2F5496" w:themeColor="accent1" w:themeShade="BF"/>
      <w:spacing w:val="5"/>
    </w:rPr>
  </w:style>
  <w:style w:type="paragraph" w:styleId="NormalWeb">
    <w:name w:val="Normal (Web)"/>
    <w:basedOn w:val="Normal"/>
    <w:uiPriority w:val="99"/>
    <w:semiHidden/>
    <w:unhideWhenUsed/>
    <w:rsid w:val="00FE72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webSettings" Target="webSettings.xml"/><Relationship Id="rId7" Type="http://schemas.microsoft.com/office/2014/relationships/chartEx" Target="charts/chartEx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3.xml"/><Relationship Id="rId5" Type="http://schemas.microsoft.com/office/2014/relationships/chartEx" Target="charts/chartEx1.xml"/><Relationship Id="rId15" Type="http://schemas.openxmlformats.org/officeDocument/2006/relationships/image" Target="media/image7.png"/><Relationship Id="rId10" Type="http://schemas.openxmlformats.org/officeDocument/2006/relationships/chart" Target="charts/chart2.xml"/><Relationship Id="rId4" Type="http://schemas.openxmlformats.org/officeDocument/2006/relationships/chart" Target="charts/chart1.xml"/><Relationship Id="rId9" Type="http://schemas.openxmlformats.org/officeDocument/2006/relationships/image" Target="media/image3.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etuunivpoitiersfr-my.sharepoint.com/personal/quentin_chirol_etuunivpoitiersfr_onmicrosoft_com/Documents/but2/SAE%20TEMPOREL/goldv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etuunivpoitiersfr-my.sharepoint.com/personal/quentin_chirol_etuunivpoitiersfr_onmicrosoft_com/Documents/but2/SAE%20TEMPOREL/goldv2.xlsx" TargetMode="External"/><Relationship Id="rId2" Type="http://schemas.microsoft.com/office/2011/relationships/chartColorStyle" Target="colors4.xml"/><Relationship Id="rId1" Type="http://schemas.microsoft.com/office/2011/relationships/chartStyle" Target="style4.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https://etuunivpoitiersfr-my.sharepoint.com/personal/quentin_chirol_etuunivpoitiersfr_onmicrosoft_com/Documents/but2/SAE%20TEMPOREL/goldv2.xls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etuunivpoitiersfr-my.sharepoint.com/personal/quentin_chirol_etuunivpoitiersfr_onmicrosoft_com/Documents/but2/SAE%20TEMPOREL/goldv2.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ttps://etuunivpoitiersfr-my.sharepoint.com/personal/quentin_chirol_etuunivpoitiersfr_onmicrosoft_com/Documents/but2/SAE%20TEMPOREL/goldv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0636600360633215E-2"/>
          <c:y val="0.14498501866201696"/>
          <c:w val="0.79245737674955452"/>
          <c:h val="0.77274274770157758"/>
        </c:manualLayout>
      </c:layout>
      <c:barChart>
        <c:barDir val="col"/>
        <c:grouping val="clustered"/>
        <c:varyColors val="0"/>
        <c:ser>
          <c:idx val="1"/>
          <c:order val="1"/>
          <c:tx>
            <c:strRef>
              <c:f>'graphique-td'!$M$4</c:f>
              <c:strCache>
                <c:ptCount val="1"/>
                <c:pt idx="0">
                  <c:v>taux de croissance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cat>
            <c:numRef>
              <c:f>'graphique-td'!$K$5:$K$19</c:f>
              <c:numCache>
                <c:formatCode>General</c:formatCode>
                <c:ptCount val="15"/>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numCache>
            </c:numRef>
          </c:cat>
          <c:val>
            <c:numRef>
              <c:f>'graphique-td'!$M$5:$M$19</c:f>
              <c:numCache>
                <c:formatCode>General</c:formatCode>
                <c:ptCount val="15"/>
                <c:pt idx="1">
                  <c:v>6.3902904350999616</c:v>
                </c:pt>
                <c:pt idx="2">
                  <c:v>-15.447396585842686</c:v>
                </c:pt>
                <c:pt idx="3">
                  <c:v>-10.264657603624734</c:v>
                </c:pt>
                <c:pt idx="4">
                  <c:v>-8.3778117286410065</c:v>
                </c:pt>
                <c:pt idx="5">
                  <c:v>7.6049319099797943</c:v>
                </c:pt>
                <c:pt idx="6">
                  <c:v>0.70388005344843929</c:v>
                </c:pt>
                <c:pt idx="7">
                  <c:v>0.9556166577309797</c:v>
                </c:pt>
                <c:pt idx="8">
                  <c:v>9.6942780825527546</c:v>
                </c:pt>
                <c:pt idx="9">
                  <c:v>27.106386547765293</c:v>
                </c:pt>
                <c:pt idx="10">
                  <c:v>1.708231514429436</c:v>
                </c:pt>
                <c:pt idx="11">
                  <c:v>9.7663503087634135E-2</c:v>
                </c:pt>
                <c:pt idx="12">
                  <c:v>7.85663508815228</c:v>
                </c:pt>
                <c:pt idx="13">
                  <c:v>22.857612505250007</c:v>
                </c:pt>
                <c:pt idx="14">
                  <c:v>37.736627224711</c:v>
                </c:pt>
              </c:numCache>
            </c:numRef>
          </c:val>
          <c:extLst>
            <c:ext xmlns:c16="http://schemas.microsoft.com/office/drawing/2014/chart" uri="{C3380CC4-5D6E-409C-BE32-E72D297353CC}">
              <c16:uniqueId val="{00000000-BAB4-46D7-BAD9-523E77EFB615}"/>
            </c:ext>
          </c:extLst>
        </c:ser>
        <c:dLbls>
          <c:showLegendKey val="0"/>
          <c:showVal val="0"/>
          <c:showCatName val="0"/>
          <c:showSerName val="0"/>
          <c:showPercent val="0"/>
          <c:showBubbleSize val="0"/>
        </c:dLbls>
        <c:gapWidth val="150"/>
        <c:axId val="1969664079"/>
        <c:axId val="1969652079"/>
      </c:barChart>
      <c:lineChart>
        <c:grouping val="standard"/>
        <c:varyColors val="0"/>
        <c:ser>
          <c:idx val="0"/>
          <c:order val="0"/>
          <c:tx>
            <c:strRef>
              <c:f>'graphique-td'!$L$4</c:f>
              <c:strCache>
                <c:ptCount val="1"/>
                <c:pt idx="0">
                  <c:v>moyenne</c:v>
                </c:pt>
              </c:strCache>
            </c:strRef>
          </c:tx>
          <c:spPr>
            <a:ln w="31750" cap="rnd">
              <a:solidFill>
                <a:schemeClr val="accent1"/>
              </a:solidFill>
              <a:round/>
            </a:ln>
            <a:effectLst/>
          </c:spPr>
          <c:marker>
            <c:symbol val="none"/>
          </c:marker>
          <c:cat>
            <c:numRef>
              <c:f>'graphique-td'!$K$5:$K$19</c:f>
              <c:numCache>
                <c:formatCode>General</c:formatCode>
                <c:ptCount val="15"/>
                <c:pt idx="0">
                  <c:v>2011</c:v>
                </c:pt>
                <c:pt idx="1">
                  <c:v>2012</c:v>
                </c:pt>
                <c:pt idx="2">
                  <c:v>2013</c:v>
                </c:pt>
                <c:pt idx="3">
                  <c:v>2014</c:v>
                </c:pt>
                <c:pt idx="4">
                  <c:v>2015</c:v>
                </c:pt>
                <c:pt idx="5">
                  <c:v>2016</c:v>
                </c:pt>
                <c:pt idx="6">
                  <c:v>2017</c:v>
                </c:pt>
                <c:pt idx="7">
                  <c:v>2018</c:v>
                </c:pt>
                <c:pt idx="8">
                  <c:v>2019</c:v>
                </c:pt>
                <c:pt idx="9">
                  <c:v>2020</c:v>
                </c:pt>
                <c:pt idx="10">
                  <c:v>2021</c:v>
                </c:pt>
                <c:pt idx="11">
                  <c:v>2022</c:v>
                </c:pt>
                <c:pt idx="12">
                  <c:v>2023</c:v>
                </c:pt>
                <c:pt idx="13">
                  <c:v>2024</c:v>
                </c:pt>
                <c:pt idx="14">
                  <c:v>2025</c:v>
                </c:pt>
              </c:numCache>
            </c:numRef>
          </c:cat>
          <c:val>
            <c:numRef>
              <c:f>'graphique-td'!$L$5:$L$19</c:f>
              <c:numCache>
                <c:formatCode>General</c:formatCode>
                <c:ptCount val="15"/>
                <c:pt idx="0">
                  <c:v>1568.5836453954664</c:v>
                </c:pt>
                <c:pt idx="1">
                  <c:v>1668.8206960537152</c:v>
                </c:pt>
                <c:pt idx="2">
                  <c:v>1411.0313448276775</c:v>
                </c:pt>
                <c:pt idx="3">
                  <c:v>1266.1938086012949</c:v>
                </c:pt>
                <c:pt idx="4">
                  <c:v>1160.1144751969694</c:v>
                </c:pt>
                <c:pt idx="5">
                  <c:v>1248.3403911135183</c:v>
                </c:pt>
                <c:pt idx="6">
                  <c:v>1257.1272101257066</c:v>
                </c:pt>
                <c:pt idx="7">
                  <c:v>1269.1405271545366</c:v>
                </c:pt>
                <c:pt idx="8">
                  <c:v>1392.1745391152733</c:v>
                </c:pt>
                <c:pt idx="9">
                  <c:v>1769.5427511074292</c:v>
                </c:pt>
                <c:pt idx="10">
                  <c:v>1799.770638043148</c:v>
                </c:pt>
                <c:pt idx="11">
                  <c:v>1801.5283570958036</c:v>
                </c:pt>
                <c:pt idx="12">
                  <c:v>1943.0678661224058</c:v>
                </c:pt>
                <c:pt idx="13">
                  <c:v>2387.2067896746953</c:v>
                </c:pt>
                <c:pt idx="14">
                  <c:v>3288.0581169772258</c:v>
                </c:pt>
              </c:numCache>
            </c:numRef>
          </c:val>
          <c:smooth val="0"/>
          <c:extLst>
            <c:ext xmlns:c16="http://schemas.microsoft.com/office/drawing/2014/chart" uri="{C3380CC4-5D6E-409C-BE32-E72D297353CC}">
              <c16:uniqueId val="{00000001-BAB4-46D7-BAD9-523E77EFB615}"/>
            </c:ext>
          </c:extLst>
        </c:ser>
        <c:dLbls>
          <c:showLegendKey val="0"/>
          <c:showVal val="0"/>
          <c:showCatName val="0"/>
          <c:showSerName val="0"/>
          <c:showPercent val="0"/>
          <c:showBubbleSize val="0"/>
        </c:dLbls>
        <c:marker val="1"/>
        <c:smooth val="0"/>
        <c:axId val="411466271"/>
        <c:axId val="411467231"/>
      </c:lineChart>
      <c:catAx>
        <c:axId val="1969664079"/>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1969652079"/>
        <c:crosses val="autoZero"/>
        <c:auto val="1"/>
        <c:lblAlgn val="ctr"/>
        <c:lblOffset val="100"/>
        <c:noMultiLvlLbl val="0"/>
      </c:catAx>
      <c:valAx>
        <c:axId val="196965207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accent2">
                        <a:lumMod val="75000"/>
                      </a:schemeClr>
                    </a:solidFill>
                    <a:latin typeface="+mn-lt"/>
                    <a:ea typeface="+mn-ea"/>
                    <a:cs typeface="+mn-cs"/>
                  </a:defRPr>
                </a:pPr>
                <a:r>
                  <a:rPr lang="fr-FR">
                    <a:solidFill>
                      <a:schemeClr val="accent2">
                        <a:lumMod val="75000"/>
                      </a:schemeClr>
                    </a:solidFill>
                  </a:rPr>
                  <a:t>taux</a:t>
                </a:r>
                <a:r>
                  <a:rPr lang="fr-FR" baseline="0">
                    <a:solidFill>
                      <a:schemeClr val="accent2">
                        <a:lumMod val="75000"/>
                      </a:schemeClr>
                    </a:solidFill>
                  </a:rPr>
                  <a:t> de croissance (en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accent2">
                      <a:lumMod val="75000"/>
                    </a:schemeClr>
                  </a:solidFill>
                  <a:latin typeface="+mn-lt"/>
                  <a:ea typeface="+mn-ea"/>
                  <a:cs typeface="+mn-cs"/>
                </a:defRPr>
              </a:pPr>
              <a:endParaRPr lang="fr-FR"/>
            </a:p>
          </c:txPr>
        </c:title>
        <c:numFmt formatCode="General" sourceLinked="1"/>
        <c:majorTickMark val="none"/>
        <c:minorTickMark val="none"/>
        <c:tickLblPos val="nextTo"/>
        <c:spPr>
          <a:solidFill>
            <a:sysClr val="window" lastClr="FFFFFF"/>
          </a:solidFill>
          <a:ln>
            <a:noFill/>
          </a:ln>
          <a:effectLst/>
        </c:spPr>
        <c:txPr>
          <a:bodyPr rot="-60000000" spcFirstLastPara="1" vertOverflow="ellipsis" vert="horz" wrap="square" anchor="ctr" anchorCtr="1"/>
          <a:lstStyle/>
          <a:p>
            <a:pPr>
              <a:defRPr sz="800" b="0" i="0" u="none" strike="noStrike" kern="1200" baseline="0">
                <a:solidFill>
                  <a:schemeClr val="accent2">
                    <a:lumMod val="75000"/>
                  </a:schemeClr>
                </a:solidFill>
                <a:latin typeface="+mn-lt"/>
                <a:ea typeface="+mn-ea"/>
                <a:cs typeface="+mn-cs"/>
              </a:defRPr>
            </a:pPr>
            <a:endParaRPr lang="fr-FR"/>
          </a:p>
        </c:txPr>
        <c:crossAx val="1969664079"/>
        <c:crosses val="autoZero"/>
        <c:crossBetween val="between"/>
      </c:valAx>
      <c:valAx>
        <c:axId val="411467231"/>
        <c:scaling>
          <c:orientation val="minMax"/>
        </c:scaling>
        <c:delete val="0"/>
        <c:axPos val="r"/>
        <c:title>
          <c:tx>
            <c:rich>
              <a:bodyPr rot="-54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r>
                  <a:rPr lang="fr-FR">
                    <a:solidFill>
                      <a:schemeClr val="accent1">
                        <a:lumMod val="50000"/>
                      </a:schemeClr>
                    </a:solidFill>
                  </a:rPr>
                  <a:t>moyenne</a:t>
                </a:r>
                <a:r>
                  <a:rPr lang="fr-FR" baseline="0">
                    <a:solidFill>
                      <a:schemeClr val="accent1">
                        <a:lumMod val="50000"/>
                      </a:schemeClr>
                    </a:solidFill>
                  </a:rPr>
                  <a:t> mensuel de l'or( en $)</a:t>
                </a:r>
                <a:endParaRPr lang="fr-FR">
                  <a:solidFill>
                    <a:schemeClr val="accent1">
                      <a:lumMod val="50000"/>
                    </a:schemeClr>
                  </a:solidFill>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accent1">
                      <a:lumMod val="50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accent1">
                    <a:lumMod val="50000"/>
                  </a:schemeClr>
                </a:solidFill>
                <a:latin typeface="+mn-lt"/>
                <a:ea typeface="+mn-ea"/>
                <a:cs typeface="+mn-cs"/>
              </a:defRPr>
            </a:pPr>
            <a:endParaRPr lang="fr-FR"/>
          </a:p>
        </c:txPr>
        <c:crossAx val="411466271"/>
        <c:crosses val="max"/>
        <c:crossBetween val="between"/>
      </c:valAx>
      <c:catAx>
        <c:axId val="411466271"/>
        <c:scaling>
          <c:orientation val="minMax"/>
        </c:scaling>
        <c:delete val="1"/>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fr-FR" sz="1400"/>
                  <a:t>EVOLUTION</a:t>
                </a:r>
                <a:r>
                  <a:rPr lang="fr-FR" sz="1400" baseline="0"/>
                  <a:t> DE L'OR MENSUEL</a:t>
                </a:r>
                <a:endParaRPr lang="fr-FR" sz="1400"/>
              </a:p>
            </c:rich>
          </c:tx>
          <c:layout>
            <c:manualLayout>
              <c:xMode val="edge"/>
              <c:yMode val="edge"/>
              <c:x val="0.19758743145819352"/>
              <c:y val="3.0547329574818871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fr-FR"/>
            </a:p>
          </c:txPr>
        </c:title>
        <c:numFmt formatCode="General" sourceLinked="1"/>
        <c:majorTickMark val="none"/>
        <c:minorTickMark val="none"/>
        <c:tickLblPos val="nextTo"/>
        <c:crossAx val="411467231"/>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1" i="0" u="none" strike="noStrike" kern="1200" spc="0" baseline="0">
                <a:solidFill>
                  <a:sysClr val="windowText" lastClr="000000">
                    <a:lumMod val="65000"/>
                    <a:lumOff val="35000"/>
                  </a:sysClr>
                </a:solidFill>
                <a:latin typeface="+mn-lt"/>
                <a:ea typeface="+mn-ea"/>
                <a:cs typeface="+mn-cs"/>
              </a:defRPr>
            </a:pPr>
            <a:r>
              <a:rPr lang="fr-FR" sz="1400" b="1" i="0" u="none" strike="noStrike" kern="1200" spc="0" baseline="0">
                <a:solidFill>
                  <a:sysClr val="windowText" lastClr="000000">
                    <a:lumMod val="65000"/>
                    <a:lumOff val="35000"/>
                  </a:sysClr>
                </a:solidFill>
              </a:rPr>
              <a:t>Ecarts-types en fonction des moyennes par année</a:t>
            </a:r>
          </a:p>
          <a:p>
            <a:pPr marL="0" marR="0" lvl="0" indent="0" algn="ctr" defTabSz="914400" rtl="0" eaLnBrk="1" fontAlgn="auto" latinLnBrk="0" hangingPunct="1">
              <a:lnSpc>
                <a:spcPct val="100000"/>
              </a:lnSpc>
              <a:spcBef>
                <a:spcPts val="0"/>
              </a:spcBef>
              <a:spcAft>
                <a:spcPts val="0"/>
              </a:spcAft>
              <a:buClrTx/>
              <a:buSzTx/>
              <a:buFontTx/>
              <a:buNone/>
              <a:tabLst/>
              <a:defRPr b="1">
                <a:solidFill>
                  <a:sysClr val="windowText" lastClr="000000">
                    <a:lumMod val="65000"/>
                    <a:lumOff val="35000"/>
                  </a:sysClr>
                </a:solidFill>
              </a:defRPr>
            </a:pPr>
            <a:endParaRPr lang="en-US" b="1"/>
          </a:p>
        </c:rich>
      </c:tx>
      <c:layout>
        <c:manualLayout>
          <c:xMode val="edge"/>
          <c:yMode val="edge"/>
          <c:x val="0.21411117958623865"/>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1" i="0" u="none" strike="noStrike" kern="1200" spc="0" baseline="0">
              <a:solidFill>
                <a:sysClr val="windowText" lastClr="000000">
                  <a:lumMod val="65000"/>
                  <a:lumOff val="35000"/>
                </a:sysClr>
              </a:solidFill>
              <a:latin typeface="+mn-lt"/>
              <a:ea typeface="+mn-ea"/>
              <a:cs typeface="+mn-cs"/>
            </a:defRPr>
          </a:pPr>
          <a:endParaRPr lang="fr-FR"/>
        </a:p>
      </c:txPr>
    </c:title>
    <c:autoTitleDeleted val="0"/>
    <c:plotArea>
      <c:layout>
        <c:manualLayout>
          <c:layoutTarget val="inner"/>
          <c:xMode val="edge"/>
          <c:yMode val="edge"/>
          <c:x val="0.14225057310874115"/>
          <c:y val="0.18950602694398488"/>
          <c:w val="0.7657454344325697"/>
          <c:h val="0.70083541613549782"/>
        </c:manualLayout>
      </c:layout>
      <c:scatterChart>
        <c:scatterStyle val="lineMarker"/>
        <c:varyColors val="0"/>
        <c:ser>
          <c:idx val="0"/>
          <c:order val="0"/>
          <c:tx>
            <c:strRef>
              <c:f>'Q9'!$T$3</c:f>
              <c:strCache>
                <c:ptCount val="1"/>
                <c:pt idx="0">
                  <c:v>Ecart-type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9946332033865708"/>
                  <c:y val="-2.379884504510205E-3"/>
                </c:manualLayout>
              </c:layout>
              <c:numFmt formatCode="General" sourceLinked="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fr-FR"/>
                </a:p>
              </c:txPr>
            </c:trendlineLbl>
          </c:trendline>
          <c:xVal>
            <c:numRef>
              <c:f>'Q9'!$N$4:$N$18</c:f>
              <c:numCache>
                <c:formatCode>0.00</c:formatCode>
                <c:ptCount val="15"/>
                <c:pt idx="0">
                  <c:v>1568.5836453954664</c:v>
                </c:pt>
                <c:pt idx="1">
                  <c:v>1668.8206960537152</c:v>
                </c:pt>
                <c:pt idx="2">
                  <c:v>1411.0313448276775</c:v>
                </c:pt>
                <c:pt idx="3">
                  <c:v>1266.1938086012949</c:v>
                </c:pt>
                <c:pt idx="4">
                  <c:v>1160.1144751969694</c:v>
                </c:pt>
                <c:pt idx="5">
                  <c:v>1248.3403911135183</c:v>
                </c:pt>
                <c:pt idx="6">
                  <c:v>1257.1272101257066</c:v>
                </c:pt>
                <c:pt idx="7">
                  <c:v>1269.1405271545366</c:v>
                </c:pt>
                <c:pt idx="8">
                  <c:v>1392.1745391152733</c:v>
                </c:pt>
                <c:pt idx="9">
                  <c:v>1769.5427511074292</c:v>
                </c:pt>
                <c:pt idx="10">
                  <c:v>1799.770638043148</c:v>
                </c:pt>
                <c:pt idx="11">
                  <c:v>1801.5283570958036</c:v>
                </c:pt>
                <c:pt idx="12">
                  <c:v>1943.0678661224058</c:v>
                </c:pt>
                <c:pt idx="13">
                  <c:v>2387.2067896746953</c:v>
                </c:pt>
                <c:pt idx="14">
                  <c:v>3288.0581169772258</c:v>
                </c:pt>
              </c:numCache>
            </c:numRef>
          </c:xVal>
          <c:yVal>
            <c:numRef>
              <c:f>'Q9'!$T$4:$T$18</c:f>
              <c:numCache>
                <c:formatCode>0.00</c:formatCode>
                <c:ptCount val="15"/>
                <c:pt idx="0">
                  <c:v>141.42458617822658</c:v>
                </c:pt>
                <c:pt idx="1">
                  <c:v>58.115153362461989</c:v>
                </c:pt>
                <c:pt idx="2">
                  <c:v>142.26535235184693</c:v>
                </c:pt>
                <c:pt idx="3">
                  <c:v>46.517381822034324</c:v>
                </c:pt>
                <c:pt idx="4">
                  <c:v>53.715119614660566</c:v>
                </c:pt>
                <c:pt idx="5">
                  <c:v>69.836100200944472</c:v>
                </c:pt>
                <c:pt idx="6">
                  <c:v>30.490711545520995</c:v>
                </c:pt>
                <c:pt idx="7">
                  <c:v>52.195123613498225</c:v>
                </c:pt>
                <c:pt idx="8">
                  <c:v>90.012913322201754</c:v>
                </c:pt>
                <c:pt idx="9">
                  <c:v>134.83424219543608</c:v>
                </c:pt>
                <c:pt idx="10">
                  <c:v>39.726327383790867</c:v>
                </c:pt>
                <c:pt idx="11">
                  <c:v>86.073337345397263</c:v>
                </c:pt>
                <c:pt idx="12">
                  <c:v>49.120839595809024</c:v>
                </c:pt>
                <c:pt idx="13">
                  <c:v>219.82642526146014</c:v>
                </c:pt>
                <c:pt idx="14">
                  <c:v>365.02386060976733</c:v>
                </c:pt>
              </c:numCache>
            </c:numRef>
          </c:yVal>
          <c:smooth val="0"/>
          <c:extLst>
            <c:ext xmlns:c16="http://schemas.microsoft.com/office/drawing/2014/chart" uri="{C3380CC4-5D6E-409C-BE32-E72D297353CC}">
              <c16:uniqueId val="{00000001-3CFE-4853-A469-64F90B2D2D75}"/>
            </c:ext>
          </c:extLst>
        </c:ser>
        <c:dLbls>
          <c:showLegendKey val="0"/>
          <c:showVal val="0"/>
          <c:showCatName val="0"/>
          <c:showSerName val="0"/>
          <c:showPercent val="0"/>
          <c:showBubbleSize val="0"/>
        </c:dLbls>
        <c:axId val="1089228607"/>
        <c:axId val="1089249823"/>
      </c:scatterChart>
      <c:valAx>
        <c:axId val="1089228607"/>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089249823"/>
        <c:crosses val="autoZero"/>
        <c:crossBetween val="midCat"/>
      </c:valAx>
      <c:valAx>
        <c:axId val="10892498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089228607"/>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0"/>
            </a:pPr>
            <a:r>
              <a:rPr lang="fr-FR" sz="1400" b="0"/>
              <a:t>EVOLUTION DU</a:t>
            </a:r>
            <a:r>
              <a:rPr lang="fr-FR" sz="1400" b="0" baseline="0"/>
              <a:t> PRIX DE L'OR</a:t>
            </a:r>
            <a:endParaRPr lang="fr-FR" sz="1400" b="0"/>
          </a:p>
        </c:rich>
      </c:tx>
      <c:layout>
        <c:manualLayout>
          <c:xMode val="edge"/>
          <c:yMode val="edge"/>
          <c:x val="0.19271420923386462"/>
          <c:y val="1.8572082834424956E-2"/>
        </c:manualLayout>
      </c:layout>
      <c:overlay val="0"/>
    </c:title>
    <c:autoTitleDeleted val="0"/>
    <c:plotArea>
      <c:layout>
        <c:manualLayout>
          <c:layoutTarget val="inner"/>
          <c:xMode val="edge"/>
          <c:yMode val="edge"/>
          <c:x val="4.140287878015074E-2"/>
          <c:y val="0.11611864914923474"/>
          <c:w val="0.95495363442011771"/>
          <c:h val="0.81057777728729952"/>
        </c:manualLayout>
      </c:layout>
      <c:lineChart>
        <c:grouping val="standard"/>
        <c:varyColors val="0"/>
        <c:ser>
          <c:idx val="4"/>
          <c:order val="0"/>
          <c:tx>
            <c:strRef>
              <c:f>data!$C$1</c:f>
              <c:strCache>
                <c:ptCount val="1"/>
                <c:pt idx="0">
                  <c:v>OBS_VALUE</c:v>
                </c:pt>
              </c:strCache>
            </c:strRef>
          </c:tx>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0-B85C-4851-A9C2-BC10787DD46B}"/>
            </c:ext>
          </c:extLst>
        </c:ser>
        <c:ser>
          <c:idx val="5"/>
          <c:order val="1"/>
          <c:tx>
            <c:strRef>
              <c:f>data!$C$1</c:f>
              <c:strCache>
                <c:ptCount val="1"/>
                <c:pt idx="0">
                  <c:v>OBS_VALUE</c:v>
                </c:pt>
              </c:strCache>
            </c:strRef>
          </c:tx>
          <c:spPr>
            <a:ln w="28575" cap="rnd">
              <a:solidFill>
                <a:schemeClr val="accent1"/>
              </a:solidFill>
              <a:round/>
            </a:ln>
            <a:effectLst/>
          </c:spPr>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1-B85C-4851-A9C2-BC10787DD46B}"/>
            </c:ext>
          </c:extLst>
        </c:ser>
        <c:ser>
          <c:idx val="6"/>
          <c:order val="2"/>
          <c:tx>
            <c:strRef>
              <c:f>data!$C$1</c:f>
              <c:strCache>
                <c:ptCount val="1"/>
                <c:pt idx="0">
                  <c:v>OBS_VALUE</c:v>
                </c:pt>
              </c:strCache>
            </c:strRef>
          </c:tx>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2-B85C-4851-A9C2-BC10787DD46B}"/>
            </c:ext>
          </c:extLst>
        </c:ser>
        <c:ser>
          <c:idx val="7"/>
          <c:order val="3"/>
          <c:tx>
            <c:strRef>
              <c:f>data!$C$1</c:f>
              <c:strCache>
                <c:ptCount val="1"/>
                <c:pt idx="0">
                  <c:v>OBS_VALUE</c:v>
                </c:pt>
              </c:strCache>
            </c:strRef>
          </c:tx>
          <c:spPr>
            <a:ln w="28575" cap="rnd">
              <a:solidFill>
                <a:schemeClr val="accent1"/>
              </a:solidFill>
              <a:round/>
            </a:ln>
            <a:effectLst/>
          </c:spPr>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3-B85C-4851-A9C2-BC10787DD46B}"/>
            </c:ext>
          </c:extLst>
        </c:ser>
        <c:ser>
          <c:idx val="2"/>
          <c:order val="4"/>
          <c:tx>
            <c:strRef>
              <c:f>data!$C$1</c:f>
              <c:strCache>
                <c:ptCount val="1"/>
                <c:pt idx="0">
                  <c:v>OBS_VALUE</c:v>
                </c:pt>
              </c:strCache>
            </c:strRef>
          </c:tx>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4-B85C-4851-A9C2-BC10787DD46B}"/>
            </c:ext>
          </c:extLst>
        </c:ser>
        <c:ser>
          <c:idx val="3"/>
          <c:order val="5"/>
          <c:tx>
            <c:strRef>
              <c:f>data!$C$1</c:f>
              <c:strCache>
                <c:ptCount val="1"/>
                <c:pt idx="0">
                  <c:v>OBS_VALUE</c:v>
                </c:pt>
              </c:strCache>
            </c:strRef>
          </c:tx>
          <c:spPr>
            <a:ln w="28575" cap="rnd">
              <a:solidFill>
                <a:schemeClr val="accent1"/>
              </a:solidFill>
              <a:round/>
            </a:ln>
            <a:effectLst/>
          </c:spPr>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5-B85C-4851-A9C2-BC10787DD46B}"/>
            </c:ext>
          </c:extLst>
        </c:ser>
        <c:ser>
          <c:idx val="1"/>
          <c:order val="6"/>
          <c:tx>
            <c:strRef>
              <c:f>data!$C$1</c:f>
              <c:strCache>
                <c:ptCount val="1"/>
                <c:pt idx="0">
                  <c:v>OBS_VALUE</c:v>
                </c:pt>
              </c:strCache>
            </c:strRef>
          </c:tx>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6-B85C-4851-A9C2-BC10787DD46B}"/>
            </c:ext>
          </c:extLst>
        </c:ser>
        <c:ser>
          <c:idx val="0"/>
          <c:order val="7"/>
          <c:tx>
            <c:strRef>
              <c:f>data!$C$1</c:f>
              <c:strCache>
                <c:ptCount val="1"/>
                <c:pt idx="0">
                  <c:v>OBS_VALUE</c:v>
                </c:pt>
              </c:strCache>
            </c:strRef>
          </c:tx>
          <c:spPr>
            <a:ln w="28575" cap="rnd">
              <a:solidFill>
                <a:schemeClr val="accent1"/>
              </a:solidFill>
              <a:round/>
            </a:ln>
            <a:effectLst/>
          </c:spPr>
          <c:marker>
            <c:symbol val="none"/>
          </c:marker>
          <c:cat>
            <c:multiLvlStrRef>
              <c:f>data!$A$2:$B$181</c:f>
              <c:multiLvlStrCache>
                <c:ptCount val="180"/>
                <c:lvl>
                  <c:pt idx="0">
                    <c:v>Janvier</c:v>
                  </c:pt>
                  <c:pt idx="1">
                    <c:v>Fevrier</c:v>
                  </c:pt>
                  <c:pt idx="2">
                    <c:v>Mars</c:v>
                  </c:pt>
                  <c:pt idx="3">
                    <c:v>Avril</c:v>
                  </c:pt>
                  <c:pt idx="4">
                    <c:v>Mai</c:v>
                  </c:pt>
                  <c:pt idx="5">
                    <c:v>Juin</c:v>
                  </c:pt>
                  <c:pt idx="6">
                    <c:v>Juillet</c:v>
                  </c:pt>
                  <c:pt idx="7">
                    <c:v>Aout </c:v>
                  </c:pt>
                  <c:pt idx="8">
                    <c:v>Septembre</c:v>
                  </c:pt>
                  <c:pt idx="9">
                    <c:v>Octobre</c:v>
                  </c:pt>
                  <c:pt idx="10">
                    <c:v>Novembre </c:v>
                  </c:pt>
                  <c:pt idx="11">
                    <c:v>decembre</c:v>
                  </c:pt>
                  <c:pt idx="12">
                    <c:v>Janvier</c:v>
                  </c:pt>
                  <c:pt idx="13">
                    <c:v>Fevrier</c:v>
                  </c:pt>
                  <c:pt idx="14">
                    <c:v>Mars</c:v>
                  </c:pt>
                  <c:pt idx="15">
                    <c:v>Avril</c:v>
                  </c:pt>
                  <c:pt idx="16">
                    <c:v>Mai</c:v>
                  </c:pt>
                  <c:pt idx="17">
                    <c:v>Juin</c:v>
                  </c:pt>
                  <c:pt idx="18">
                    <c:v>Juillet</c:v>
                  </c:pt>
                  <c:pt idx="19">
                    <c:v>Aout </c:v>
                  </c:pt>
                  <c:pt idx="20">
                    <c:v>Septembre</c:v>
                  </c:pt>
                  <c:pt idx="21">
                    <c:v>Octobre</c:v>
                  </c:pt>
                  <c:pt idx="22">
                    <c:v>Novembre </c:v>
                  </c:pt>
                  <c:pt idx="23">
                    <c:v>decembre</c:v>
                  </c:pt>
                  <c:pt idx="24">
                    <c:v>Janvier</c:v>
                  </c:pt>
                  <c:pt idx="25">
                    <c:v>Fevrier</c:v>
                  </c:pt>
                  <c:pt idx="26">
                    <c:v>Mars</c:v>
                  </c:pt>
                  <c:pt idx="27">
                    <c:v>Avril</c:v>
                  </c:pt>
                  <c:pt idx="28">
                    <c:v>Mai</c:v>
                  </c:pt>
                  <c:pt idx="29">
                    <c:v>Juin</c:v>
                  </c:pt>
                  <c:pt idx="30">
                    <c:v>Juillet</c:v>
                  </c:pt>
                  <c:pt idx="31">
                    <c:v>Aout </c:v>
                  </c:pt>
                  <c:pt idx="32">
                    <c:v>Septembre</c:v>
                  </c:pt>
                  <c:pt idx="33">
                    <c:v>Octobre</c:v>
                  </c:pt>
                  <c:pt idx="34">
                    <c:v>Novembre </c:v>
                  </c:pt>
                  <c:pt idx="35">
                    <c:v>decembre</c:v>
                  </c:pt>
                  <c:pt idx="36">
                    <c:v>Janvier</c:v>
                  </c:pt>
                  <c:pt idx="37">
                    <c:v>Fevrier</c:v>
                  </c:pt>
                  <c:pt idx="38">
                    <c:v>Mars</c:v>
                  </c:pt>
                  <c:pt idx="39">
                    <c:v>Avril</c:v>
                  </c:pt>
                  <c:pt idx="40">
                    <c:v>Mai</c:v>
                  </c:pt>
                  <c:pt idx="41">
                    <c:v>Juin</c:v>
                  </c:pt>
                  <c:pt idx="42">
                    <c:v>Juillet</c:v>
                  </c:pt>
                  <c:pt idx="43">
                    <c:v>Aout </c:v>
                  </c:pt>
                  <c:pt idx="44">
                    <c:v>Septembre</c:v>
                  </c:pt>
                  <c:pt idx="45">
                    <c:v>Octobre</c:v>
                  </c:pt>
                  <c:pt idx="46">
                    <c:v>Novembre </c:v>
                  </c:pt>
                  <c:pt idx="47">
                    <c:v>decembre</c:v>
                  </c:pt>
                  <c:pt idx="48">
                    <c:v>Janvier</c:v>
                  </c:pt>
                  <c:pt idx="49">
                    <c:v>Fevrier</c:v>
                  </c:pt>
                  <c:pt idx="50">
                    <c:v>Mars</c:v>
                  </c:pt>
                  <c:pt idx="51">
                    <c:v>Avril</c:v>
                  </c:pt>
                  <c:pt idx="52">
                    <c:v>Mai</c:v>
                  </c:pt>
                  <c:pt idx="53">
                    <c:v>Juin</c:v>
                  </c:pt>
                  <c:pt idx="54">
                    <c:v>Juillet</c:v>
                  </c:pt>
                  <c:pt idx="55">
                    <c:v>Aout </c:v>
                  </c:pt>
                  <c:pt idx="56">
                    <c:v>Septembre</c:v>
                  </c:pt>
                  <c:pt idx="57">
                    <c:v>Octobre</c:v>
                  </c:pt>
                  <c:pt idx="58">
                    <c:v>Novembre </c:v>
                  </c:pt>
                  <c:pt idx="59">
                    <c:v>decembre</c:v>
                  </c:pt>
                  <c:pt idx="60">
                    <c:v>Janvier</c:v>
                  </c:pt>
                  <c:pt idx="61">
                    <c:v>Fevrier</c:v>
                  </c:pt>
                  <c:pt idx="62">
                    <c:v>Mars</c:v>
                  </c:pt>
                  <c:pt idx="63">
                    <c:v>Avril</c:v>
                  </c:pt>
                  <c:pt idx="64">
                    <c:v>Mai</c:v>
                  </c:pt>
                  <c:pt idx="65">
                    <c:v>Juin</c:v>
                  </c:pt>
                  <c:pt idx="66">
                    <c:v>Juillet</c:v>
                  </c:pt>
                  <c:pt idx="67">
                    <c:v>Aout </c:v>
                  </c:pt>
                  <c:pt idx="68">
                    <c:v>Septembre</c:v>
                  </c:pt>
                  <c:pt idx="69">
                    <c:v>Octobre</c:v>
                  </c:pt>
                  <c:pt idx="70">
                    <c:v>Novembre </c:v>
                  </c:pt>
                  <c:pt idx="71">
                    <c:v>decembre</c:v>
                  </c:pt>
                  <c:pt idx="72">
                    <c:v>Janvier</c:v>
                  </c:pt>
                  <c:pt idx="73">
                    <c:v>Fevrier</c:v>
                  </c:pt>
                  <c:pt idx="74">
                    <c:v>Mars</c:v>
                  </c:pt>
                  <c:pt idx="75">
                    <c:v>Avril</c:v>
                  </c:pt>
                  <c:pt idx="76">
                    <c:v>Mai</c:v>
                  </c:pt>
                  <c:pt idx="77">
                    <c:v>Juin</c:v>
                  </c:pt>
                  <c:pt idx="78">
                    <c:v>Juillet</c:v>
                  </c:pt>
                  <c:pt idx="79">
                    <c:v>Aout </c:v>
                  </c:pt>
                  <c:pt idx="80">
                    <c:v>Septembre</c:v>
                  </c:pt>
                  <c:pt idx="81">
                    <c:v>Octobre</c:v>
                  </c:pt>
                  <c:pt idx="82">
                    <c:v>Novembre </c:v>
                  </c:pt>
                  <c:pt idx="83">
                    <c:v>decembre</c:v>
                  </c:pt>
                  <c:pt idx="84">
                    <c:v>Janvier</c:v>
                  </c:pt>
                  <c:pt idx="85">
                    <c:v>Fevrier</c:v>
                  </c:pt>
                  <c:pt idx="86">
                    <c:v>Mars</c:v>
                  </c:pt>
                  <c:pt idx="87">
                    <c:v>Avril</c:v>
                  </c:pt>
                  <c:pt idx="88">
                    <c:v>Mai</c:v>
                  </c:pt>
                  <c:pt idx="89">
                    <c:v>Juin</c:v>
                  </c:pt>
                  <c:pt idx="90">
                    <c:v>Juillet</c:v>
                  </c:pt>
                  <c:pt idx="91">
                    <c:v>Aout </c:v>
                  </c:pt>
                  <c:pt idx="92">
                    <c:v>Septembre</c:v>
                  </c:pt>
                  <c:pt idx="93">
                    <c:v>Octobre</c:v>
                  </c:pt>
                  <c:pt idx="94">
                    <c:v>Novembre </c:v>
                  </c:pt>
                  <c:pt idx="95">
                    <c:v>decembre</c:v>
                  </c:pt>
                  <c:pt idx="96">
                    <c:v>Janvier</c:v>
                  </c:pt>
                  <c:pt idx="97">
                    <c:v>Fevrier</c:v>
                  </c:pt>
                  <c:pt idx="98">
                    <c:v>Mars</c:v>
                  </c:pt>
                  <c:pt idx="99">
                    <c:v>Avril</c:v>
                  </c:pt>
                  <c:pt idx="100">
                    <c:v>Mai</c:v>
                  </c:pt>
                  <c:pt idx="101">
                    <c:v>Juin</c:v>
                  </c:pt>
                  <c:pt idx="102">
                    <c:v>Juillet</c:v>
                  </c:pt>
                  <c:pt idx="103">
                    <c:v>Aout </c:v>
                  </c:pt>
                  <c:pt idx="104">
                    <c:v>Septembre</c:v>
                  </c:pt>
                  <c:pt idx="105">
                    <c:v>Octobre</c:v>
                  </c:pt>
                  <c:pt idx="106">
                    <c:v>Novembre </c:v>
                  </c:pt>
                  <c:pt idx="107">
                    <c:v>decembre</c:v>
                  </c:pt>
                  <c:pt idx="108">
                    <c:v>Janvier</c:v>
                  </c:pt>
                  <c:pt idx="109">
                    <c:v>Fevrier</c:v>
                  </c:pt>
                  <c:pt idx="110">
                    <c:v>Mars</c:v>
                  </c:pt>
                  <c:pt idx="111">
                    <c:v>Avril</c:v>
                  </c:pt>
                  <c:pt idx="112">
                    <c:v>Mai</c:v>
                  </c:pt>
                  <c:pt idx="113">
                    <c:v>Juin</c:v>
                  </c:pt>
                  <c:pt idx="114">
                    <c:v>Juillet</c:v>
                  </c:pt>
                  <c:pt idx="115">
                    <c:v>Aout </c:v>
                  </c:pt>
                  <c:pt idx="116">
                    <c:v>Septembre</c:v>
                  </c:pt>
                  <c:pt idx="117">
                    <c:v>Octobre</c:v>
                  </c:pt>
                  <c:pt idx="118">
                    <c:v>Novembre </c:v>
                  </c:pt>
                  <c:pt idx="119">
                    <c:v>decembre</c:v>
                  </c:pt>
                  <c:pt idx="120">
                    <c:v>Janvier</c:v>
                  </c:pt>
                  <c:pt idx="121">
                    <c:v>Fevrier</c:v>
                  </c:pt>
                  <c:pt idx="122">
                    <c:v>Mars</c:v>
                  </c:pt>
                  <c:pt idx="123">
                    <c:v>Avril</c:v>
                  </c:pt>
                  <c:pt idx="124">
                    <c:v>Mai</c:v>
                  </c:pt>
                  <c:pt idx="125">
                    <c:v>Juin</c:v>
                  </c:pt>
                  <c:pt idx="126">
                    <c:v>Juillet</c:v>
                  </c:pt>
                  <c:pt idx="127">
                    <c:v>Aout </c:v>
                  </c:pt>
                  <c:pt idx="128">
                    <c:v>Septembre</c:v>
                  </c:pt>
                  <c:pt idx="129">
                    <c:v>Octobre</c:v>
                  </c:pt>
                  <c:pt idx="130">
                    <c:v>Novembre </c:v>
                  </c:pt>
                  <c:pt idx="131">
                    <c:v>decembre</c:v>
                  </c:pt>
                  <c:pt idx="132">
                    <c:v>Janvier</c:v>
                  </c:pt>
                  <c:pt idx="133">
                    <c:v>Fevrier</c:v>
                  </c:pt>
                  <c:pt idx="134">
                    <c:v>Mars</c:v>
                  </c:pt>
                  <c:pt idx="135">
                    <c:v>Avril</c:v>
                  </c:pt>
                  <c:pt idx="136">
                    <c:v>Mai</c:v>
                  </c:pt>
                  <c:pt idx="137">
                    <c:v>Juin</c:v>
                  </c:pt>
                  <c:pt idx="138">
                    <c:v>Juillet</c:v>
                  </c:pt>
                  <c:pt idx="139">
                    <c:v>Aout </c:v>
                  </c:pt>
                  <c:pt idx="140">
                    <c:v>Septembre</c:v>
                  </c:pt>
                  <c:pt idx="141">
                    <c:v>Octobre</c:v>
                  </c:pt>
                  <c:pt idx="142">
                    <c:v>Novembre </c:v>
                  </c:pt>
                  <c:pt idx="143">
                    <c:v>decembre</c:v>
                  </c:pt>
                  <c:pt idx="144">
                    <c:v>Janvier</c:v>
                  </c:pt>
                  <c:pt idx="145">
                    <c:v>Fevrier</c:v>
                  </c:pt>
                  <c:pt idx="146">
                    <c:v>Mars</c:v>
                  </c:pt>
                  <c:pt idx="147">
                    <c:v>Avril</c:v>
                  </c:pt>
                  <c:pt idx="148">
                    <c:v>Mai</c:v>
                  </c:pt>
                  <c:pt idx="149">
                    <c:v>Juin</c:v>
                  </c:pt>
                  <c:pt idx="150">
                    <c:v>Juillet</c:v>
                  </c:pt>
                  <c:pt idx="151">
                    <c:v>Aout </c:v>
                  </c:pt>
                  <c:pt idx="152">
                    <c:v>Septembre</c:v>
                  </c:pt>
                  <c:pt idx="153">
                    <c:v>Octobre</c:v>
                  </c:pt>
                  <c:pt idx="154">
                    <c:v>Novembre </c:v>
                  </c:pt>
                  <c:pt idx="155">
                    <c:v>decembre</c:v>
                  </c:pt>
                  <c:pt idx="156">
                    <c:v>Janvier</c:v>
                  </c:pt>
                  <c:pt idx="157">
                    <c:v>Fevrier</c:v>
                  </c:pt>
                  <c:pt idx="158">
                    <c:v>Mars</c:v>
                  </c:pt>
                  <c:pt idx="159">
                    <c:v>Avril</c:v>
                  </c:pt>
                  <c:pt idx="160">
                    <c:v>Mai</c:v>
                  </c:pt>
                  <c:pt idx="161">
                    <c:v>Juin</c:v>
                  </c:pt>
                  <c:pt idx="162">
                    <c:v>Juillet</c:v>
                  </c:pt>
                  <c:pt idx="163">
                    <c:v>Aout </c:v>
                  </c:pt>
                  <c:pt idx="164">
                    <c:v>Septembre</c:v>
                  </c:pt>
                  <c:pt idx="165">
                    <c:v>Octobre</c:v>
                  </c:pt>
                  <c:pt idx="166">
                    <c:v>Novembre </c:v>
                  </c:pt>
                  <c:pt idx="167">
                    <c:v>decembre</c:v>
                  </c:pt>
                  <c:pt idx="168">
                    <c:v>Janvier</c:v>
                  </c:pt>
                  <c:pt idx="169">
                    <c:v>Fevrier</c:v>
                  </c:pt>
                  <c:pt idx="170">
                    <c:v>Mars</c:v>
                  </c:pt>
                  <c:pt idx="171">
                    <c:v>Avril</c:v>
                  </c:pt>
                  <c:pt idx="172">
                    <c:v>Mai</c:v>
                  </c:pt>
                  <c:pt idx="173">
                    <c:v>Juin</c:v>
                  </c:pt>
                  <c:pt idx="174">
                    <c:v>Juillet</c:v>
                  </c:pt>
                  <c:pt idx="175">
                    <c:v>Aout </c:v>
                  </c:pt>
                  <c:pt idx="176">
                    <c:v>Septembre</c:v>
                  </c:pt>
                  <c:pt idx="177">
                    <c:v>Octobre</c:v>
                  </c:pt>
                  <c:pt idx="178">
                    <c:v>Novembre </c:v>
                  </c:pt>
                  <c:pt idx="179">
                    <c:v>decembre</c:v>
                  </c:pt>
                </c:lvl>
                <c:lvl>
                  <c:pt idx="0">
                    <c:v>2011</c:v>
                  </c:pt>
                  <c:pt idx="12">
                    <c:v>2012</c:v>
                  </c:pt>
                  <c:pt idx="24">
                    <c:v>2013</c:v>
                  </c:pt>
                  <c:pt idx="36">
                    <c:v>2014</c:v>
                  </c:pt>
                  <c:pt idx="48">
                    <c:v>2015</c:v>
                  </c:pt>
                  <c:pt idx="60">
                    <c:v>2016</c:v>
                  </c:pt>
                  <c:pt idx="72">
                    <c:v>2017</c:v>
                  </c:pt>
                  <c:pt idx="84">
                    <c:v>2018</c:v>
                  </c:pt>
                  <c:pt idx="96">
                    <c:v>2019</c:v>
                  </c:pt>
                  <c:pt idx="108">
                    <c:v>2020</c:v>
                  </c:pt>
                  <c:pt idx="120">
                    <c:v>2021</c:v>
                  </c:pt>
                  <c:pt idx="132">
                    <c:v>2022</c:v>
                  </c:pt>
                  <c:pt idx="144">
                    <c:v>2023</c:v>
                  </c:pt>
                  <c:pt idx="156">
                    <c:v>2024</c:v>
                  </c:pt>
                  <c:pt idx="168">
                    <c:v>2025</c:v>
                  </c:pt>
                </c:lvl>
              </c:multiLvlStrCache>
            </c:multiLvlStrRef>
          </c:cat>
          <c:val>
            <c:numRef>
              <c:f>data!$C$2:$C$181</c:f>
              <c:numCache>
                <c:formatCode>General</c:formatCode>
                <c:ptCount val="180"/>
                <c:pt idx="0">
                  <c:v>1356.4</c:v>
                </c:pt>
                <c:pt idx="1">
                  <c:v>1372.7249999999999</c:v>
                </c:pt>
                <c:pt idx="2">
                  <c:v>1424.01086956522</c:v>
                </c:pt>
                <c:pt idx="3">
                  <c:v>1473.80555555556</c:v>
                </c:pt>
                <c:pt idx="4">
                  <c:v>1510.4375</c:v>
                </c:pt>
                <c:pt idx="5">
                  <c:v>1528.6590909090901</c:v>
                </c:pt>
                <c:pt idx="6">
                  <c:v>1572.80952380952</c:v>
                </c:pt>
                <c:pt idx="7">
                  <c:v>1755.8068181818201</c:v>
                </c:pt>
                <c:pt idx="8">
                  <c:v>1771.85227272727</c:v>
                </c:pt>
                <c:pt idx="9">
                  <c:v>1665.2142857142901</c:v>
                </c:pt>
                <c:pt idx="10">
                  <c:v>1738.97727272727</c:v>
                </c:pt>
                <c:pt idx="11">
                  <c:v>1652.30555555556</c:v>
                </c:pt>
                <c:pt idx="12">
                  <c:v>1656.11904761905</c:v>
                </c:pt>
                <c:pt idx="13">
                  <c:v>1742.61904761905</c:v>
                </c:pt>
                <c:pt idx="14">
                  <c:v>1673.77272727273</c:v>
                </c:pt>
                <c:pt idx="15">
                  <c:v>1650.0657894736801</c:v>
                </c:pt>
                <c:pt idx="16">
                  <c:v>1585.50454545455</c:v>
                </c:pt>
                <c:pt idx="17">
                  <c:v>1596.69736842105</c:v>
                </c:pt>
                <c:pt idx="18">
                  <c:v>1593.9090909090901</c:v>
                </c:pt>
                <c:pt idx="19">
                  <c:v>1626.0340909090901</c:v>
                </c:pt>
                <c:pt idx="20">
                  <c:v>1744.45</c:v>
                </c:pt>
                <c:pt idx="21">
                  <c:v>1747.01086956522</c:v>
                </c:pt>
                <c:pt idx="22">
                  <c:v>1721.1363636363601</c:v>
                </c:pt>
                <c:pt idx="23">
                  <c:v>1688.5294117647099</c:v>
                </c:pt>
                <c:pt idx="24">
                  <c:v>1670.95454545455</c:v>
                </c:pt>
                <c:pt idx="25">
                  <c:v>1627.5875000000001</c:v>
                </c:pt>
                <c:pt idx="26">
                  <c:v>1592.8625</c:v>
                </c:pt>
                <c:pt idx="27">
                  <c:v>1485.0833333333301</c:v>
                </c:pt>
                <c:pt idx="28">
                  <c:v>1413.5</c:v>
                </c:pt>
                <c:pt idx="29">
                  <c:v>1342.3625</c:v>
                </c:pt>
                <c:pt idx="30">
                  <c:v>1286.72391304348</c:v>
                </c:pt>
                <c:pt idx="31">
                  <c:v>1347.0952380952399</c:v>
                </c:pt>
                <c:pt idx="32">
                  <c:v>1348.7976190476199</c:v>
                </c:pt>
                <c:pt idx="33">
                  <c:v>1316.1847826087001</c:v>
                </c:pt>
                <c:pt idx="34">
                  <c:v>1275.82142857143</c:v>
                </c:pt>
                <c:pt idx="35">
                  <c:v>1225.4027777777801</c:v>
                </c:pt>
                <c:pt idx="36">
                  <c:v>1244.79545454545</c:v>
                </c:pt>
                <c:pt idx="37">
                  <c:v>1300.9749999999999</c:v>
                </c:pt>
                <c:pt idx="38">
                  <c:v>1336.0833333333301</c:v>
                </c:pt>
                <c:pt idx="39">
                  <c:v>1299</c:v>
                </c:pt>
                <c:pt idx="40">
                  <c:v>1287.5250000000001</c:v>
                </c:pt>
                <c:pt idx="41">
                  <c:v>1279.0952380952399</c:v>
                </c:pt>
                <c:pt idx="42">
                  <c:v>1310.96739130435</c:v>
                </c:pt>
                <c:pt idx="43">
                  <c:v>1295.9875</c:v>
                </c:pt>
                <c:pt idx="44">
                  <c:v>1238.8181818181799</c:v>
                </c:pt>
                <c:pt idx="45">
                  <c:v>1222.48913043478</c:v>
                </c:pt>
                <c:pt idx="46">
                  <c:v>1176.3</c:v>
                </c:pt>
                <c:pt idx="47">
                  <c:v>1202.28947368421</c:v>
                </c:pt>
                <c:pt idx="48">
                  <c:v>1251.8452380952399</c:v>
                </c:pt>
                <c:pt idx="49">
                  <c:v>1227.1875</c:v>
                </c:pt>
                <c:pt idx="50">
                  <c:v>1178.62954545455</c:v>
                </c:pt>
                <c:pt idx="51">
                  <c:v>1197.9100000000001</c:v>
                </c:pt>
                <c:pt idx="52">
                  <c:v>1199.05263157895</c:v>
                </c:pt>
                <c:pt idx="53">
                  <c:v>1181.50454545455</c:v>
                </c:pt>
                <c:pt idx="54">
                  <c:v>1130.03695652174</c:v>
                </c:pt>
                <c:pt idx="55">
                  <c:v>1117.4749999999999</c:v>
                </c:pt>
                <c:pt idx="56">
                  <c:v>1124.53181818182</c:v>
                </c:pt>
                <c:pt idx="57">
                  <c:v>1159.24545454545</c:v>
                </c:pt>
                <c:pt idx="58">
                  <c:v>1085.7023809523801</c:v>
                </c:pt>
                <c:pt idx="59">
                  <c:v>1068.2526315789501</c:v>
                </c:pt>
                <c:pt idx="60">
                  <c:v>1097.375</c:v>
                </c:pt>
                <c:pt idx="61">
                  <c:v>1199.9119047618999</c:v>
                </c:pt>
                <c:pt idx="62">
                  <c:v>1246.3380952381001</c:v>
                </c:pt>
                <c:pt idx="63">
                  <c:v>1242.26190476191</c:v>
                </c:pt>
                <c:pt idx="64">
                  <c:v>1259.3975</c:v>
                </c:pt>
                <c:pt idx="65">
                  <c:v>1276.4045454545501</c:v>
                </c:pt>
                <c:pt idx="66">
                  <c:v>1337.32619047619</c:v>
                </c:pt>
                <c:pt idx="67">
                  <c:v>1341.08863636364</c:v>
                </c:pt>
                <c:pt idx="68">
                  <c:v>1326.0295454545501</c:v>
                </c:pt>
                <c:pt idx="69">
                  <c:v>1266.56904761905</c:v>
                </c:pt>
                <c:pt idx="70">
                  <c:v>1235.9795454545499</c:v>
                </c:pt>
                <c:pt idx="71">
                  <c:v>1151.4027777777801</c:v>
                </c:pt>
                <c:pt idx="72">
                  <c:v>1192.61666666667</c:v>
                </c:pt>
                <c:pt idx="73">
                  <c:v>1234.3575000000001</c:v>
                </c:pt>
                <c:pt idx="74">
                  <c:v>1231.0934782608699</c:v>
                </c:pt>
                <c:pt idx="75">
                  <c:v>1265.62777777778</c:v>
                </c:pt>
                <c:pt idx="76">
                  <c:v>1245.00476190476</c:v>
                </c:pt>
                <c:pt idx="77">
                  <c:v>1260.2568181818201</c:v>
                </c:pt>
                <c:pt idx="78">
                  <c:v>1236.2214285714299</c:v>
                </c:pt>
                <c:pt idx="79">
                  <c:v>1282.3159090909101</c:v>
                </c:pt>
                <c:pt idx="80">
                  <c:v>1314.9785714285699</c:v>
                </c:pt>
                <c:pt idx="81">
                  <c:v>1279.51363636364</c:v>
                </c:pt>
                <c:pt idx="82">
                  <c:v>1282.2840909090901</c:v>
                </c:pt>
                <c:pt idx="83">
                  <c:v>1261.25588235294</c:v>
                </c:pt>
                <c:pt idx="84">
                  <c:v>1331.66590909091</c:v>
                </c:pt>
                <c:pt idx="85">
                  <c:v>1331.5250000000001</c:v>
                </c:pt>
                <c:pt idx="86">
                  <c:v>1324.6571428571399</c:v>
                </c:pt>
                <c:pt idx="87">
                  <c:v>1334.74</c:v>
                </c:pt>
                <c:pt idx="88">
                  <c:v>1303.0261904761901</c:v>
                </c:pt>
                <c:pt idx="89">
                  <c:v>1281.56666666667</c:v>
                </c:pt>
                <c:pt idx="90">
                  <c:v>1238.5250000000001</c:v>
                </c:pt>
                <c:pt idx="91">
                  <c:v>1201.24545454545</c:v>
                </c:pt>
                <c:pt idx="92">
                  <c:v>1198.4725000000001</c:v>
                </c:pt>
                <c:pt idx="93">
                  <c:v>1215.3934782608701</c:v>
                </c:pt>
                <c:pt idx="94">
                  <c:v>1220.94545454545</c:v>
                </c:pt>
                <c:pt idx="95">
                  <c:v>1247.92352941176</c:v>
                </c:pt>
                <c:pt idx="96">
                  <c:v>1291.74545454545</c:v>
                </c:pt>
                <c:pt idx="97">
                  <c:v>1320.0650000000001</c:v>
                </c:pt>
                <c:pt idx="98">
                  <c:v>1300.8976190476201</c:v>
                </c:pt>
                <c:pt idx="99">
                  <c:v>1286.4449999999999</c:v>
                </c:pt>
                <c:pt idx="100">
                  <c:v>1283.94761904762</c:v>
                </c:pt>
                <c:pt idx="101">
                  <c:v>1359.0425</c:v>
                </c:pt>
                <c:pt idx="102">
                  <c:v>1412.97826086957</c:v>
                </c:pt>
                <c:pt idx="103">
                  <c:v>1498.7976190476199</c:v>
                </c:pt>
                <c:pt idx="104">
                  <c:v>1511.31428571429</c:v>
                </c:pt>
                <c:pt idx="105">
                  <c:v>1494.8</c:v>
                </c:pt>
                <c:pt idx="106">
                  <c:v>1470.0166666666701</c:v>
                </c:pt>
                <c:pt idx="107">
                  <c:v>1476.0444444444399</c:v>
                </c:pt>
                <c:pt idx="108">
                  <c:v>1560.6727272727301</c:v>
                </c:pt>
                <c:pt idx="109">
                  <c:v>1597.1025</c:v>
                </c:pt>
                <c:pt idx="110">
                  <c:v>1591.9272727272701</c:v>
                </c:pt>
                <c:pt idx="111">
                  <c:v>1682.93</c:v>
                </c:pt>
                <c:pt idx="112">
                  <c:v>1716.3815789473699</c:v>
                </c:pt>
                <c:pt idx="113">
                  <c:v>1732.21818181818</c:v>
                </c:pt>
                <c:pt idx="114">
                  <c:v>1843.3130434782599</c:v>
                </c:pt>
                <c:pt idx="115">
                  <c:v>1968.0309523809501</c:v>
                </c:pt>
                <c:pt idx="116">
                  <c:v>1922.21363636364</c:v>
                </c:pt>
                <c:pt idx="117">
                  <c:v>1900.2750000000001</c:v>
                </c:pt>
                <c:pt idx="118">
                  <c:v>1863.49285714286</c:v>
                </c:pt>
                <c:pt idx="119">
                  <c:v>1855.9552631578899</c:v>
                </c:pt>
                <c:pt idx="120">
                  <c:v>1866.9849999999999</c:v>
                </c:pt>
                <c:pt idx="121">
                  <c:v>1808.175</c:v>
                </c:pt>
                <c:pt idx="122">
                  <c:v>1718.22826086957</c:v>
                </c:pt>
                <c:pt idx="123">
                  <c:v>1761.6775</c:v>
                </c:pt>
                <c:pt idx="124">
                  <c:v>1855.56</c:v>
                </c:pt>
                <c:pt idx="125">
                  <c:v>1834.5659090909101</c:v>
                </c:pt>
                <c:pt idx="126">
                  <c:v>1807.09318181818</c:v>
                </c:pt>
                <c:pt idx="127">
                  <c:v>1783.9690476190499</c:v>
                </c:pt>
                <c:pt idx="128">
                  <c:v>1777.2522727272701</c:v>
                </c:pt>
                <c:pt idx="129">
                  <c:v>1776.8547619047599</c:v>
                </c:pt>
                <c:pt idx="130">
                  <c:v>1820.2340909090899</c:v>
                </c:pt>
                <c:pt idx="131">
                  <c:v>1786.6526315789499</c:v>
                </c:pt>
                <c:pt idx="132">
                  <c:v>1816.7650000000001</c:v>
                </c:pt>
                <c:pt idx="133">
                  <c:v>1856.2950000000001</c:v>
                </c:pt>
                <c:pt idx="134">
                  <c:v>1947.8282608695699</c:v>
                </c:pt>
                <c:pt idx="135">
                  <c:v>1933.9</c:v>
                </c:pt>
                <c:pt idx="136">
                  <c:v>1849.83318181818</c:v>
                </c:pt>
                <c:pt idx="137">
                  <c:v>1837.0640909090901</c:v>
                </c:pt>
                <c:pt idx="138">
                  <c:v>1737.3804761904801</c:v>
                </c:pt>
                <c:pt idx="139">
                  <c:v>1764.1326086956501</c:v>
                </c:pt>
                <c:pt idx="140">
                  <c:v>1683.20818181818</c:v>
                </c:pt>
                <c:pt idx="141">
                  <c:v>1666.62666666667</c:v>
                </c:pt>
                <c:pt idx="142">
                  <c:v>1727.89863636364</c:v>
                </c:pt>
                <c:pt idx="143">
                  <c:v>1797.4081818181801</c:v>
                </c:pt>
                <c:pt idx="144">
                  <c:v>1896.0595454545501</c:v>
                </c:pt>
                <c:pt idx="145">
                  <c:v>1853.4090000000001</c:v>
                </c:pt>
                <c:pt idx="146">
                  <c:v>1913.6482608695701</c:v>
                </c:pt>
                <c:pt idx="147">
                  <c:v>1999.6685</c:v>
                </c:pt>
                <c:pt idx="148">
                  <c:v>1989.8269565217399</c:v>
                </c:pt>
                <c:pt idx="149">
                  <c:v>1944.7286363636399</c:v>
                </c:pt>
                <c:pt idx="150">
                  <c:v>1950.27</c:v>
                </c:pt>
                <c:pt idx="151">
                  <c:v>1919.30217391304</c:v>
                </c:pt>
                <c:pt idx="152">
                  <c:v>1915.4347619047601</c:v>
                </c:pt>
                <c:pt idx="153">
                  <c:v>1913.98454545455</c:v>
                </c:pt>
                <c:pt idx="154">
                  <c:v>1985.7777272727301</c:v>
                </c:pt>
                <c:pt idx="155">
                  <c:v>2034.7042857142901</c:v>
                </c:pt>
                <c:pt idx="156">
                  <c:v>2034.00608695652</c:v>
                </c:pt>
                <c:pt idx="157">
                  <c:v>2024.4461904761899</c:v>
                </c:pt>
                <c:pt idx="158">
                  <c:v>2162.3461904761898</c:v>
                </c:pt>
                <c:pt idx="159">
                  <c:v>2333.5504545454501</c:v>
                </c:pt>
                <c:pt idx="160">
                  <c:v>2350.5965217391299</c:v>
                </c:pt>
                <c:pt idx="161">
                  <c:v>2328.2624999999998</c:v>
                </c:pt>
                <c:pt idx="162">
                  <c:v>2393.9621739130398</c:v>
                </c:pt>
                <c:pt idx="163">
                  <c:v>2468.3286363636398</c:v>
                </c:pt>
                <c:pt idx="164">
                  <c:v>2569.0490476190498</c:v>
                </c:pt>
                <c:pt idx="165">
                  <c:v>2689.1286956521699</c:v>
                </c:pt>
                <c:pt idx="166">
                  <c:v>2652.1995238095201</c:v>
                </c:pt>
                <c:pt idx="167">
                  <c:v>2640.6054545454499</c:v>
                </c:pt>
                <c:pt idx="168">
                  <c:v>2707.4673913043498</c:v>
                </c:pt>
                <c:pt idx="169">
                  <c:v>2894.38</c:v>
                </c:pt>
                <c:pt idx="170">
                  <c:v>2986.2561904761901</c:v>
                </c:pt>
                <c:pt idx="171">
                  <c:v>3222.0118181818202</c:v>
                </c:pt>
                <c:pt idx="172">
                  <c:v>3288.0095454545499</c:v>
                </c:pt>
                <c:pt idx="173">
                  <c:v>3351.85857142857</c:v>
                </c:pt>
                <c:pt idx="174">
                  <c:v>3341.6491304347801</c:v>
                </c:pt>
                <c:pt idx="175">
                  <c:v>3367.2561904761901</c:v>
                </c:pt>
                <c:pt idx="176">
                  <c:v>3666.52363636364</c:v>
                </c:pt>
                <c:pt idx="177">
                  <c:v>4055.1686956521698</c:v>
                </c:pt>
              </c:numCache>
            </c:numRef>
          </c:val>
          <c:smooth val="0"/>
          <c:extLst>
            <c:ext xmlns:c16="http://schemas.microsoft.com/office/drawing/2014/chart" uri="{C3380CC4-5D6E-409C-BE32-E72D297353CC}">
              <c16:uniqueId val="{00000007-B85C-4851-A9C2-BC10787DD46B}"/>
            </c:ext>
          </c:extLst>
        </c:ser>
        <c:dLbls>
          <c:showLegendKey val="0"/>
          <c:showVal val="0"/>
          <c:showCatName val="0"/>
          <c:showSerName val="0"/>
          <c:showPercent val="0"/>
          <c:showBubbleSize val="0"/>
        </c:dLbls>
        <c:smooth val="0"/>
        <c:axId val="12624495"/>
        <c:axId val="12624911"/>
      </c:lineChart>
      <c:catAx>
        <c:axId val="12624495"/>
        <c:scaling>
          <c:orientation val="minMax"/>
        </c:scaling>
        <c:delete val="1"/>
        <c:axPos val="b"/>
        <c:numFmt formatCode="General" sourceLinked="1"/>
        <c:majorTickMark val="none"/>
        <c:minorTickMark val="none"/>
        <c:tickLblPos val="nextTo"/>
        <c:crossAx val="12624911"/>
        <c:crosses val="autoZero"/>
        <c:auto val="1"/>
        <c:lblAlgn val="ctr"/>
        <c:lblOffset val="100"/>
        <c:noMultiLvlLbl val="0"/>
      </c:catAx>
      <c:valAx>
        <c:axId val="126249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624495"/>
        <c:crosses val="autoZero"/>
        <c:crossBetween val="between"/>
      </c:valAx>
    </c:plotArea>
    <c:plotVisOnly val="1"/>
    <c:dispBlanksAs val="gap"/>
    <c:showDLblsOverMax val="0"/>
  </c:chart>
  <c:txPr>
    <a:bodyPr/>
    <a:lstStyle/>
    <a:p>
      <a:pPr>
        <a:defRPr/>
      </a:pPr>
      <a:endParaRPr lang="fr-FR"/>
    </a:p>
  </c:txPr>
  <c:externalData r:id="rId1">
    <c:autoUpdate val="0"/>
  </c:externalData>
  <c:userShapes r:id="rId2"/>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'Q9'!$B$4:$B$18</cx:f>
        <cx:lvl ptCount="15" formatCode="0,00">
          <cx:pt idx="0">1356.4000000000001</cx:pt>
          <cx:pt idx="1">1656.11904761905</cx:pt>
          <cx:pt idx="2">1670.95454545455</cx:pt>
          <cx:pt idx="3">1244.79545454545</cx:pt>
          <cx:pt idx="4">1251.8452380952399</cx:pt>
          <cx:pt idx="5">1097.375</cx:pt>
          <cx:pt idx="6">1192.61666666667</cx:pt>
          <cx:pt idx="7">1331.66590909091</cx:pt>
          <cx:pt idx="8">1291.74545454545</cx:pt>
          <cx:pt idx="9">1560.6727272727301</cx:pt>
          <cx:pt idx="10">1866.9849999999999</cx:pt>
          <cx:pt idx="11">1816.7650000000001</cx:pt>
          <cx:pt idx="12">1896.0595454545501</cx:pt>
          <cx:pt idx="13">2034.00608695652</cx:pt>
          <cx:pt idx="14">2707.4673913043498</cx:pt>
        </cx:lvl>
      </cx:numDim>
    </cx:data>
    <cx:data id="1">
      <cx:numDim type="val">
        <cx:f>'Q9'!$C$4:$C$18</cx:f>
        <cx:lvl ptCount="15" formatCode="0,00">
          <cx:pt idx="0">1372.7249999999999</cx:pt>
          <cx:pt idx="1">1742.61904761905</cx:pt>
          <cx:pt idx="2">1627.5875000000001</cx:pt>
          <cx:pt idx="3">1300.9749999999999</cx:pt>
          <cx:pt idx="4">1227.1875</cx:pt>
          <cx:pt idx="5">1199.9119047618999</cx:pt>
          <cx:pt idx="6">1234.3575000000001</cx:pt>
          <cx:pt idx="7">1331.5250000000001</cx:pt>
          <cx:pt idx="8">1320.0650000000001</cx:pt>
          <cx:pt idx="9">1597.1025</cx:pt>
          <cx:pt idx="10">1808.175</cx:pt>
          <cx:pt idx="11">1856.2950000000001</cx:pt>
          <cx:pt idx="12">1853.4090000000001</cx:pt>
          <cx:pt idx="13">2024.4461904761899</cx:pt>
          <cx:pt idx="14">2894.3800000000001</cx:pt>
        </cx:lvl>
      </cx:numDim>
    </cx:data>
    <cx:data id="2">
      <cx:numDim type="val">
        <cx:f>'Q9'!$D$4:$D$18</cx:f>
        <cx:lvl ptCount="15" formatCode="0,00">
          <cx:pt idx="0">1424.01086956522</cx:pt>
          <cx:pt idx="1">1673.77272727273</cx:pt>
          <cx:pt idx="2">1592.8625</cx:pt>
          <cx:pt idx="3">1336.0833333333301</cx:pt>
          <cx:pt idx="4">1178.62954545455</cx:pt>
          <cx:pt idx="5">1246.3380952381001</cx:pt>
          <cx:pt idx="6">1231.0934782608699</cx:pt>
          <cx:pt idx="7">1324.6571428571399</cx:pt>
          <cx:pt idx="8">1300.8976190476201</cx:pt>
          <cx:pt idx="9">1591.9272727272701</cx:pt>
          <cx:pt idx="10">1718.22826086957</cx:pt>
          <cx:pt idx="11">1947.8282608695699</cx:pt>
          <cx:pt idx="12">1913.6482608695701</cx:pt>
          <cx:pt idx="13">2162.3461904761898</cx:pt>
          <cx:pt idx="14">2986.2561904761901</cx:pt>
        </cx:lvl>
      </cx:numDim>
    </cx:data>
    <cx:data id="3">
      <cx:numDim type="val">
        <cx:f>'Q9'!$E$4:$E$18</cx:f>
        <cx:lvl ptCount="15" formatCode="0,00">
          <cx:pt idx="0">1473.80555555556</cx:pt>
          <cx:pt idx="1">1650.0657894736801</cx:pt>
          <cx:pt idx="2">1485.0833333333301</cx:pt>
          <cx:pt idx="3">1299</cx:pt>
          <cx:pt idx="4">1197.9100000000001</cx:pt>
          <cx:pt idx="5">1242.26190476191</cx:pt>
          <cx:pt idx="6">1265.62777777778</cx:pt>
          <cx:pt idx="7">1334.74</cx:pt>
          <cx:pt idx="8">1286.4449999999999</cx:pt>
          <cx:pt idx="9">1682.9300000000001</cx:pt>
          <cx:pt idx="10">1761.6775</cx:pt>
          <cx:pt idx="11">1933.9000000000001</cx:pt>
          <cx:pt idx="12">1999.6685</cx:pt>
          <cx:pt idx="13">2333.5504545454501</cx:pt>
          <cx:pt idx="14">3222.0118181818202</cx:pt>
        </cx:lvl>
      </cx:numDim>
    </cx:data>
    <cx:data id="4">
      <cx:numDim type="val">
        <cx:f>'Q9'!$F$4:$F$18</cx:f>
        <cx:lvl ptCount="15" formatCode="0,00">
          <cx:pt idx="0">1510.4375</cx:pt>
          <cx:pt idx="1">1585.50454545455</cx:pt>
          <cx:pt idx="2">1413.5</cx:pt>
          <cx:pt idx="3">1287.5250000000001</cx:pt>
          <cx:pt idx="4">1199.05263157895</cx:pt>
          <cx:pt idx="5">1259.3975</cx:pt>
          <cx:pt idx="6">1245.00476190476</cx:pt>
          <cx:pt idx="7">1303.0261904761901</cx:pt>
          <cx:pt idx="8">1283.94761904762</cx:pt>
          <cx:pt idx="9">1716.3815789473699</cx:pt>
          <cx:pt idx="10">1855.5599999999999</cx:pt>
          <cx:pt idx="11">1849.83318181818</cx:pt>
          <cx:pt idx="12">1989.8269565217399</cx:pt>
          <cx:pt idx="13">2350.5965217391299</cx:pt>
          <cx:pt idx="14">3288.0095454545499</cx:pt>
        </cx:lvl>
      </cx:numDim>
    </cx:data>
    <cx:data id="5">
      <cx:numDim type="val">
        <cx:f>'Q9'!$G$4:$G$18</cx:f>
        <cx:lvl ptCount="15" formatCode="0,00">
          <cx:pt idx="0">1528.6590909090901</cx:pt>
          <cx:pt idx="1">1596.69736842105</cx:pt>
          <cx:pt idx="2">1342.3625</cx:pt>
          <cx:pt idx="3">1279.0952380952399</cx:pt>
          <cx:pt idx="4">1181.50454545455</cx:pt>
          <cx:pt idx="5">1276.4045454545501</cx:pt>
          <cx:pt idx="6">1260.2568181818201</cx:pt>
          <cx:pt idx="7">1281.56666666667</cx:pt>
          <cx:pt idx="8">1359.0425</cx:pt>
          <cx:pt idx="9">1732.21818181818</cx:pt>
          <cx:pt idx="10">1834.5659090909101</cx:pt>
          <cx:pt idx="11">1837.0640909090901</cx:pt>
          <cx:pt idx="12">1944.7286363636399</cx:pt>
          <cx:pt idx="13">2328.2624999999998</cx:pt>
          <cx:pt idx="14">3351.85857142857</cx:pt>
        </cx:lvl>
      </cx:numDim>
    </cx:data>
    <cx:data id="6">
      <cx:numDim type="val">
        <cx:f>'Q9'!$H$4:$H$18</cx:f>
        <cx:lvl ptCount="15" formatCode="0,00">
          <cx:pt idx="0">1572.80952380952</cx:pt>
          <cx:pt idx="1">1593.9090909090901</cx:pt>
          <cx:pt idx="2">1286.72391304348</cx:pt>
          <cx:pt idx="3">1310.96739130435</cx:pt>
          <cx:pt idx="4">1130.03695652174</cx:pt>
          <cx:pt idx="5">1337.32619047619</cx:pt>
          <cx:pt idx="6">1236.2214285714299</cx:pt>
          <cx:pt idx="7">1238.5250000000001</cx:pt>
          <cx:pt idx="8">1412.97826086957</cx:pt>
          <cx:pt idx="9">1843.3130434782599</cx:pt>
          <cx:pt idx="10">1807.09318181818</cx:pt>
          <cx:pt idx="11">1737.3804761904801</cx:pt>
          <cx:pt idx="12">1950.27</cx:pt>
          <cx:pt idx="13">2393.9621739130398</cx:pt>
          <cx:pt idx="14">3341.6491304347801</cx:pt>
        </cx:lvl>
      </cx:numDim>
    </cx:data>
    <cx:data id="7">
      <cx:numDim type="val">
        <cx:f>'Q9'!$I$4:$I$18</cx:f>
        <cx:lvl ptCount="15" formatCode="0,00">
          <cx:pt idx="0">1755.8068181818201</cx:pt>
          <cx:pt idx="1">1626.0340909090901</cx:pt>
          <cx:pt idx="2">1347.0952380952399</cx:pt>
          <cx:pt idx="3">1295.9875</cx:pt>
          <cx:pt idx="4">1117.4749999999999</cx:pt>
          <cx:pt idx="5">1341.08863636364</cx:pt>
          <cx:pt idx="6">1282.3159090909101</cx:pt>
          <cx:pt idx="7">1201.24545454545</cx:pt>
          <cx:pt idx="8">1498.7976190476199</cx:pt>
          <cx:pt idx="9">1968.0309523809501</cx:pt>
          <cx:pt idx="10">1783.9690476190499</cx:pt>
          <cx:pt idx="11">1764.1326086956501</cx:pt>
          <cx:pt idx="12">1919.30217391304</cx:pt>
          <cx:pt idx="13">2468.3286363636398</cx:pt>
          <cx:pt idx="14">3367.2561904761901</cx:pt>
        </cx:lvl>
      </cx:numDim>
    </cx:data>
    <cx:data id="8">
      <cx:numDim type="val">
        <cx:f>'Q9'!$J$4:$J$18</cx:f>
        <cx:lvl ptCount="15" formatCode="0,00">
          <cx:pt idx="0">1771.85227272727</cx:pt>
          <cx:pt idx="1">1744.45</cx:pt>
          <cx:pt idx="2">1348.7976190476199</cx:pt>
          <cx:pt idx="3">1238.8181818181799</cx:pt>
          <cx:pt idx="4">1124.53181818182</cx:pt>
          <cx:pt idx="5">1326.0295454545501</cx:pt>
          <cx:pt idx="6">1314.9785714285699</cx:pt>
          <cx:pt idx="7">1198.4725000000001</cx:pt>
          <cx:pt idx="8">1511.31428571429</cx:pt>
          <cx:pt idx="9">1922.21363636364</cx:pt>
          <cx:pt idx="10">1777.2522727272701</cx:pt>
          <cx:pt idx="11">1683.20818181818</cx:pt>
          <cx:pt idx="12">1915.4347619047601</cx:pt>
          <cx:pt idx="13">2569.0490476190498</cx:pt>
          <cx:pt idx="14">3666.52363636364</cx:pt>
        </cx:lvl>
      </cx:numDim>
    </cx:data>
    <cx:data id="9">
      <cx:numDim type="val">
        <cx:f>'Q9'!$K$4:$K$18</cx:f>
        <cx:lvl ptCount="15" formatCode="0,00">
          <cx:pt idx="0">1665.2142857142901</cx:pt>
          <cx:pt idx="1">1747.01086956522</cx:pt>
          <cx:pt idx="2">1316.1847826087001</cx:pt>
          <cx:pt idx="3">1222.48913043478</cx:pt>
          <cx:pt idx="4">1159.24545454545</cx:pt>
          <cx:pt idx="5">1266.56904761905</cx:pt>
          <cx:pt idx="6">1279.51363636364</cx:pt>
          <cx:pt idx="7">1215.3934782608701</cx:pt>
          <cx:pt idx="8">1494.8</cx:pt>
          <cx:pt idx="9">1900.2750000000001</cx:pt>
          <cx:pt idx="10">1776.8547619047599</cx:pt>
          <cx:pt idx="11">1666.62666666667</cx:pt>
          <cx:pt idx="12">1913.98454545455</cx:pt>
          <cx:pt idx="13">2689.1286956521699</cx:pt>
          <cx:pt idx="14">4055.1686956521698</cx:pt>
        </cx:lvl>
      </cx:numDim>
    </cx:data>
    <cx:data id="10">
      <cx:numDim type="val">
        <cx:f>'Q9'!$L$4:$L$18</cx:f>
        <cx:lvl ptCount="15" formatCode="0,00">
          <cx:pt idx="0">1738.97727272727</cx:pt>
          <cx:pt idx="1">1721.1363636363601</cx:pt>
          <cx:pt idx="2">1275.82142857143</cx:pt>
          <cx:pt idx="3">1176.3</cx:pt>
          <cx:pt idx="4">1085.7023809523801</cx:pt>
          <cx:pt idx="5">1235.9795454545499</cx:pt>
          <cx:pt idx="6">1282.2840909090901</cx:pt>
          <cx:pt idx="7">1220.94545454545</cx:pt>
          <cx:pt idx="8">1470.0166666666701</cx:pt>
          <cx:pt idx="9">1863.49285714286</cx:pt>
          <cx:pt idx="10">1820.2340909090899</cx:pt>
          <cx:pt idx="11">1727.89863636364</cx:pt>
          <cx:pt idx="12">1985.7777272727301</cx:pt>
          <cx:pt idx="13">2652.1995238095201</cx:pt>
        </cx:lvl>
      </cx:numDim>
    </cx:data>
    <cx:data id="11">
      <cx:numDim type="val">
        <cx:f>'Q9'!$M$4:$M$18</cx:f>
        <cx:lvl ptCount="15" formatCode="0,00">
          <cx:pt idx="0">1652.30555555556</cx:pt>
          <cx:pt idx="1">1688.5294117647099</cx:pt>
          <cx:pt idx="2">1225.4027777777801</cx:pt>
          <cx:pt idx="3">1202.28947368421</cx:pt>
          <cx:pt idx="4">1068.2526315789501</cx:pt>
          <cx:pt idx="5">1151.4027777777801</cx:pt>
          <cx:pt idx="6">1261.25588235294</cx:pt>
          <cx:pt idx="7">1247.92352941176</cx:pt>
          <cx:pt idx="8">1476.0444444444399</cx:pt>
          <cx:pt idx="9">1855.9552631578899</cx:pt>
          <cx:pt idx="10">1786.6526315789499</cx:pt>
          <cx:pt idx="11">1797.4081818181801</cx:pt>
          <cx:pt idx="12">2034.7042857142901</cx:pt>
          <cx:pt idx="13">2640.6054545454499</cx:pt>
        </cx:lvl>
      </cx:numDim>
    </cx:data>
  </cx:chartData>
  <cx:chart>
    <cx:title pos="t" align="ctr" overlay="0">
      <cx:tx>
        <cx:rich>
          <a:bodyPr spcFirstLastPara="1" vertOverflow="ellipsis" horzOverflow="overflow" wrap="square" lIns="0" tIns="0" rIns="0" bIns="0"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a:pPr>
            <a:r>
              <a:rPr lang="fr-FR" sz="1400" b="1" i="0" u="none" strike="noStrike" cap="all" spc="150" baseline="0">
                <a:solidFill>
                  <a:sysClr val="windowText" lastClr="000000">
                    <a:lumMod val="50000"/>
                    <a:lumOff val="50000"/>
                  </a:sysClr>
                </a:solidFill>
                <a:effectLst/>
                <a:latin typeface="Calibri" panose="020F0502020204030204"/>
                <a:ea typeface="Calibri" panose="020F0502020204030204" pitchFamily="34" charset="0"/>
                <a:cs typeface="Calibri" panose="020F0502020204030204" pitchFamily="34" charset="0"/>
              </a:rPr>
              <a:t>Distribution de l'or pour chaque mois de la période d'étude</a:t>
            </a:r>
            <a:endParaRPr lang="fr-FR" sz="1400" b="1">
              <a:effectLst/>
            </a:endParaRPr>
          </a:p>
        </cx:rich>
      </cx:tx>
    </cx:title>
    <cx:plotArea>
      <cx:plotAreaRegion>
        <cx:series layoutId="boxWhisker" uniqueId="{DB3A0E3C-B358-43F4-948C-47661EEC8935}">
          <cx:tx>
            <cx:txData>
              <cx:f>'Q9'!$B$3</cx:f>
              <cx:v>Janvier</cx:v>
            </cx:txData>
          </cx:tx>
          <cx:dataId val="0"/>
          <cx:layoutPr>
            <cx:visibility meanLine="0" meanMarker="0" nonoutliers="1" outliers="1"/>
            <cx:statistics quartileMethod="exclusive"/>
          </cx:layoutPr>
        </cx:series>
        <cx:series layoutId="boxWhisker" uniqueId="{E344AD5C-7E85-4D8B-8A03-8FEB26CAA4D1}">
          <cx:tx>
            <cx:txData>
              <cx:f>'Q9'!$C$3</cx:f>
              <cx:v>Fevrier</cx:v>
            </cx:txData>
          </cx:tx>
          <cx:dataId val="1"/>
          <cx:layoutPr>
            <cx:visibility meanLine="0" meanMarker="0" nonoutliers="1" outliers="1"/>
            <cx:statistics quartileMethod="exclusive"/>
          </cx:layoutPr>
        </cx:series>
        <cx:series layoutId="boxWhisker" uniqueId="{401664C8-A8C0-4659-8E2E-6319E7FFAF1F}">
          <cx:tx>
            <cx:txData>
              <cx:f>'Q9'!$D$3</cx:f>
              <cx:v>Mars</cx:v>
            </cx:txData>
          </cx:tx>
          <cx:dataId val="2"/>
          <cx:layoutPr>
            <cx:visibility meanLine="0" meanMarker="0" nonoutliers="1" outliers="1"/>
            <cx:statistics quartileMethod="exclusive"/>
          </cx:layoutPr>
        </cx:series>
        <cx:series layoutId="boxWhisker" uniqueId="{43F9BC83-53CC-41EA-93EF-9EC63285D1B1}">
          <cx:tx>
            <cx:txData>
              <cx:f>'Q9'!$E$3</cx:f>
              <cx:v>Avril</cx:v>
            </cx:txData>
          </cx:tx>
          <cx:dataId val="3"/>
          <cx:layoutPr>
            <cx:visibility meanLine="0" meanMarker="0" nonoutliers="1" outliers="1"/>
            <cx:statistics quartileMethod="exclusive"/>
          </cx:layoutPr>
        </cx:series>
        <cx:series layoutId="boxWhisker" uniqueId="{48DA7AE6-9ABF-47AF-8C33-F4FCFFDF8E0B}">
          <cx:tx>
            <cx:txData>
              <cx:f>'Q9'!$F$3</cx:f>
              <cx:v>Mai</cx:v>
            </cx:txData>
          </cx:tx>
          <cx:dataId val="4"/>
          <cx:layoutPr>
            <cx:visibility meanLine="0" meanMarker="0" nonoutliers="1" outliers="1"/>
            <cx:statistics quartileMethod="exclusive"/>
          </cx:layoutPr>
        </cx:series>
        <cx:series layoutId="boxWhisker" uniqueId="{D046EE13-C840-47CB-B1CF-983DD44F5912}">
          <cx:tx>
            <cx:txData>
              <cx:f>'Q9'!$G$3</cx:f>
              <cx:v>Juin</cx:v>
            </cx:txData>
          </cx:tx>
          <cx:dataId val="5"/>
          <cx:layoutPr>
            <cx:visibility meanLine="0" meanMarker="0" nonoutliers="1" outliers="1"/>
            <cx:statistics quartileMethod="exclusive"/>
          </cx:layoutPr>
        </cx:series>
        <cx:series layoutId="boxWhisker" uniqueId="{3DADADF9-D52C-4D4B-AE12-9CAE94D5678B}">
          <cx:tx>
            <cx:txData>
              <cx:f>'Q9'!$H$3</cx:f>
              <cx:v>Juillet</cx:v>
            </cx:txData>
          </cx:tx>
          <cx:dataId val="6"/>
          <cx:layoutPr>
            <cx:visibility meanLine="0" meanMarker="0" nonoutliers="1" outliers="1"/>
            <cx:statistics quartileMethod="exclusive"/>
          </cx:layoutPr>
        </cx:series>
        <cx:series layoutId="boxWhisker" uniqueId="{0D213C9C-6F4C-4982-8A99-BAFE589FFCA9}">
          <cx:tx>
            <cx:txData>
              <cx:f>'Q9'!$I$3</cx:f>
              <cx:v>Aout </cx:v>
            </cx:txData>
          </cx:tx>
          <cx:dataId val="7"/>
          <cx:layoutPr>
            <cx:visibility meanLine="0" meanMarker="0" nonoutliers="1" outliers="1"/>
            <cx:statistics quartileMethod="exclusive"/>
          </cx:layoutPr>
        </cx:series>
        <cx:series layoutId="boxWhisker" uniqueId="{0CDEAAE2-72BB-40BA-8D43-0A77A284140D}">
          <cx:tx>
            <cx:txData>
              <cx:f>'Q9'!$J$3</cx:f>
              <cx:v>Septembre</cx:v>
            </cx:txData>
          </cx:tx>
          <cx:dataId val="8"/>
          <cx:layoutPr>
            <cx:visibility meanLine="0" meanMarker="0" nonoutliers="1" outliers="1"/>
            <cx:statistics quartileMethod="exclusive"/>
          </cx:layoutPr>
        </cx:series>
        <cx:series layoutId="boxWhisker" uniqueId="{7285C853-DDE8-4A10-B906-1E1F7E11C8FE}">
          <cx:tx>
            <cx:txData>
              <cx:f>'Q9'!$K$3</cx:f>
              <cx:v>Octobre</cx:v>
            </cx:txData>
          </cx:tx>
          <cx:dataId val="9"/>
          <cx:layoutPr>
            <cx:visibility meanLine="0" meanMarker="0" nonoutliers="1" outliers="1"/>
            <cx:statistics quartileMethod="exclusive"/>
          </cx:layoutPr>
        </cx:series>
        <cx:series layoutId="boxWhisker" uniqueId="{F3D743A1-A133-44AE-A264-3DDD5D715E88}">
          <cx:tx>
            <cx:txData>
              <cx:f>'Q9'!$L$3</cx:f>
              <cx:v>Novembre </cx:v>
            </cx:txData>
          </cx:tx>
          <cx:dataId val="10"/>
          <cx:layoutPr>
            <cx:visibility meanLine="0" meanMarker="0" nonoutliers="1" outliers="1"/>
            <cx:statistics quartileMethod="exclusive"/>
          </cx:layoutPr>
        </cx:series>
        <cx:series layoutId="boxWhisker" uniqueId="{A8E3317A-8197-41F7-9BAC-4DC63B49A12D}">
          <cx:tx>
            <cx:txData>
              <cx:f>'Q9'!$M$3</cx:f>
              <cx:v>decembre</cx:v>
            </cx:txData>
          </cx:tx>
          <cx:dataId val="11"/>
          <cx:layoutPr>
            <cx:visibility meanLine="0" meanMarker="0" nonoutliers="1" outliers="1"/>
            <cx:statistics quartileMethod="exclusive"/>
          </cx:layoutPr>
        </cx:series>
      </cx:plotAreaRegion>
      <cx:axis id="0" hidden="1">
        <cx:catScaling gapWidth="1.10000002"/>
        <cx:tickLabels/>
      </cx:axis>
      <cx:axis id="1">
        <cx:valScaling min="1000"/>
        <cx:majorGridlines/>
        <cx:tickLabels/>
      </cx:axis>
    </cx:plotArea>
    <cx:legend pos="l" align="ctr" overlay="0">
      <cx:txPr>
        <a:bodyPr spcFirstLastPara="1" vertOverflow="ellipsis" horzOverflow="overflow" wrap="square" lIns="0" tIns="0" rIns="0" bIns="0" anchor="ctr" anchorCtr="1"/>
        <a:lstStyle/>
        <a:p>
          <a:pPr algn="ctr" rtl="0">
            <a:defRPr sz="600"/>
          </a:pPr>
          <a:endParaRPr lang="fr-FR" sz="600" b="0" i="0" u="none" strike="noStrike" baseline="0">
            <a:solidFill>
              <a:sysClr val="windowText" lastClr="000000">
                <a:lumMod val="65000"/>
                <a:lumOff val="35000"/>
              </a:sysClr>
            </a:solidFill>
            <a:latin typeface="Calibri" panose="020F0502020204030204"/>
          </a:endParaRPr>
        </a:p>
      </cx:txPr>
    </cx:legend>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 dir="row">'Q9'!$B$4:$M$4</cx:f>
        <cx:lvl ptCount="12" formatCode="0,00">
          <cx:pt idx="0">1356.4000000000001</cx:pt>
          <cx:pt idx="1">1372.7249999999999</cx:pt>
          <cx:pt idx="2">1424.01086956522</cx:pt>
          <cx:pt idx="3">1473.80555555556</cx:pt>
          <cx:pt idx="4">1510.4375</cx:pt>
          <cx:pt idx="5">1528.6590909090901</cx:pt>
          <cx:pt idx="6">1572.80952380952</cx:pt>
          <cx:pt idx="7">1755.8068181818201</cx:pt>
          <cx:pt idx="8">1771.85227272727</cx:pt>
          <cx:pt idx="9">1665.2142857142901</cx:pt>
          <cx:pt idx="10">1738.97727272727</cx:pt>
          <cx:pt idx="11">1652.30555555556</cx:pt>
        </cx:lvl>
      </cx:numDim>
    </cx:data>
    <cx:data id="1">
      <cx:numDim type="val">
        <cx:f dir="row">'Q9'!$B$5:$M$5</cx:f>
        <cx:lvl ptCount="12" formatCode="0,00">
          <cx:pt idx="0">1656.11904761905</cx:pt>
          <cx:pt idx="1">1742.61904761905</cx:pt>
          <cx:pt idx="2">1673.77272727273</cx:pt>
          <cx:pt idx="3">1650.0657894736801</cx:pt>
          <cx:pt idx="4">1585.50454545455</cx:pt>
          <cx:pt idx="5">1596.69736842105</cx:pt>
          <cx:pt idx="6">1593.9090909090901</cx:pt>
          <cx:pt idx="7">1626.0340909090901</cx:pt>
          <cx:pt idx="8">1744.45</cx:pt>
          <cx:pt idx="9">1747.01086956522</cx:pt>
          <cx:pt idx="10">1721.1363636363601</cx:pt>
          <cx:pt idx="11">1688.5294117647099</cx:pt>
        </cx:lvl>
      </cx:numDim>
    </cx:data>
    <cx:data id="2">
      <cx:numDim type="val">
        <cx:f dir="row">'Q9'!$B$6:$M$6</cx:f>
        <cx:lvl ptCount="12" formatCode="0,00">
          <cx:pt idx="0">1670.95454545455</cx:pt>
          <cx:pt idx="1">1627.5875000000001</cx:pt>
          <cx:pt idx="2">1592.8625</cx:pt>
          <cx:pt idx="3">1485.0833333333301</cx:pt>
          <cx:pt idx="4">1413.5</cx:pt>
          <cx:pt idx="5">1342.3625</cx:pt>
          <cx:pt idx="6">1286.72391304348</cx:pt>
          <cx:pt idx="7">1347.0952380952399</cx:pt>
          <cx:pt idx="8">1348.7976190476199</cx:pt>
          <cx:pt idx="9">1316.1847826087001</cx:pt>
          <cx:pt idx="10">1275.82142857143</cx:pt>
          <cx:pt idx="11">1225.4027777777801</cx:pt>
        </cx:lvl>
      </cx:numDim>
    </cx:data>
    <cx:data id="3">
      <cx:numDim type="val">
        <cx:f dir="row">'Q9'!$B$7:$M$7</cx:f>
        <cx:lvl ptCount="12" formatCode="0,00">
          <cx:pt idx="0">1244.79545454545</cx:pt>
          <cx:pt idx="1">1300.9749999999999</cx:pt>
          <cx:pt idx="2">1336.0833333333301</cx:pt>
          <cx:pt idx="3">1299</cx:pt>
          <cx:pt idx="4">1287.5250000000001</cx:pt>
          <cx:pt idx="5">1279.0952380952399</cx:pt>
          <cx:pt idx="6">1310.96739130435</cx:pt>
          <cx:pt idx="7">1295.9875</cx:pt>
          <cx:pt idx="8">1238.8181818181799</cx:pt>
          <cx:pt idx="9">1222.48913043478</cx:pt>
          <cx:pt idx="10">1176.3</cx:pt>
          <cx:pt idx="11">1202.28947368421</cx:pt>
        </cx:lvl>
      </cx:numDim>
    </cx:data>
    <cx:data id="4">
      <cx:numDim type="val">
        <cx:f dir="row">'Q9'!$B$8:$M$8</cx:f>
        <cx:lvl ptCount="12" formatCode="0,00">
          <cx:pt idx="0">1251.8452380952399</cx:pt>
          <cx:pt idx="1">1227.1875</cx:pt>
          <cx:pt idx="2">1178.62954545455</cx:pt>
          <cx:pt idx="3">1197.9100000000001</cx:pt>
          <cx:pt idx="4">1199.05263157895</cx:pt>
          <cx:pt idx="5">1181.50454545455</cx:pt>
          <cx:pt idx="6">1130.03695652174</cx:pt>
          <cx:pt idx="7">1117.4749999999999</cx:pt>
          <cx:pt idx="8">1124.53181818182</cx:pt>
          <cx:pt idx="9">1159.24545454545</cx:pt>
          <cx:pt idx="10">1085.7023809523801</cx:pt>
          <cx:pt idx="11">1068.2526315789501</cx:pt>
        </cx:lvl>
      </cx:numDim>
    </cx:data>
    <cx:data id="5">
      <cx:numDim type="val">
        <cx:f dir="row">'Q9'!$B$9:$M$9</cx:f>
        <cx:lvl ptCount="12" formatCode="0,00">
          <cx:pt idx="0">1097.375</cx:pt>
          <cx:pt idx="1">1199.9119047618999</cx:pt>
          <cx:pt idx="2">1246.3380952381001</cx:pt>
          <cx:pt idx="3">1242.26190476191</cx:pt>
          <cx:pt idx="4">1259.3975</cx:pt>
          <cx:pt idx="5">1276.4045454545501</cx:pt>
          <cx:pt idx="6">1337.32619047619</cx:pt>
          <cx:pt idx="7">1341.08863636364</cx:pt>
          <cx:pt idx="8">1326.0295454545501</cx:pt>
          <cx:pt idx="9">1266.56904761905</cx:pt>
          <cx:pt idx="10">1235.9795454545499</cx:pt>
          <cx:pt idx="11">1151.4027777777801</cx:pt>
        </cx:lvl>
      </cx:numDim>
    </cx:data>
    <cx:data id="6">
      <cx:numDim type="val">
        <cx:f dir="row">'Q9'!$B$10:$M$10</cx:f>
        <cx:lvl ptCount="12" formatCode="0,00">
          <cx:pt idx="0">1192.61666666667</cx:pt>
          <cx:pt idx="1">1234.3575000000001</cx:pt>
          <cx:pt idx="2">1231.0934782608699</cx:pt>
          <cx:pt idx="3">1265.62777777778</cx:pt>
          <cx:pt idx="4">1245.00476190476</cx:pt>
          <cx:pt idx="5">1260.2568181818201</cx:pt>
          <cx:pt idx="6">1236.2214285714299</cx:pt>
          <cx:pt idx="7">1282.3159090909101</cx:pt>
          <cx:pt idx="8">1314.9785714285699</cx:pt>
          <cx:pt idx="9">1279.51363636364</cx:pt>
          <cx:pt idx="10">1282.2840909090901</cx:pt>
          <cx:pt idx="11">1261.25588235294</cx:pt>
        </cx:lvl>
      </cx:numDim>
    </cx:data>
    <cx:data id="7">
      <cx:numDim type="val">
        <cx:f dir="row">'Q9'!$B$11:$M$11</cx:f>
        <cx:lvl ptCount="12" formatCode="0,00">
          <cx:pt idx="0">1331.66590909091</cx:pt>
          <cx:pt idx="1">1331.5250000000001</cx:pt>
          <cx:pt idx="2">1324.6571428571399</cx:pt>
          <cx:pt idx="3">1334.74</cx:pt>
          <cx:pt idx="4">1303.0261904761901</cx:pt>
          <cx:pt idx="5">1281.56666666667</cx:pt>
          <cx:pt idx="6">1238.5250000000001</cx:pt>
          <cx:pt idx="7">1201.24545454545</cx:pt>
          <cx:pt idx="8">1198.4725000000001</cx:pt>
          <cx:pt idx="9">1215.3934782608701</cx:pt>
          <cx:pt idx="10">1220.94545454545</cx:pt>
          <cx:pt idx="11">1247.92352941176</cx:pt>
        </cx:lvl>
      </cx:numDim>
    </cx:data>
    <cx:data id="8">
      <cx:numDim type="val">
        <cx:f dir="row">'Q9'!$B$12:$M$12</cx:f>
        <cx:lvl ptCount="12" formatCode="0,00">
          <cx:pt idx="0">1291.74545454545</cx:pt>
          <cx:pt idx="1">1320.0650000000001</cx:pt>
          <cx:pt idx="2">1300.8976190476201</cx:pt>
          <cx:pt idx="3">1286.4449999999999</cx:pt>
          <cx:pt idx="4">1283.94761904762</cx:pt>
          <cx:pt idx="5">1359.0425</cx:pt>
          <cx:pt idx="6">1412.97826086957</cx:pt>
          <cx:pt idx="7">1498.7976190476199</cx:pt>
          <cx:pt idx="8">1511.31428571429</cx:pt>
          <cx:pt idx="9">1494.8</cx:pt>
          <cx:pt idx="10">1470.0166666666701</cx:pt>
          <cx:pt idx="11">1476.0444444444399</cx:pt>
        </cx:lvl>
      </cx:numDim>
    </cx:data>
    <cx:data id="9">
      <cx:numDim type="val">
        <cx:f dir="row">'Q9'!$B$13:$M$13</cx:f>
        <cx:lvl ptCount="12" formatCode="0,00">
          <cx:pt idx="0">1560.6727272727301</cx:pt>
          <cx:pt idx="1">1597.1025</cx:pt>
          <cx:pt idx="2">1591.9272727272701</cx:pt>
          <cx:pt idx="3">1682.9300000000001</cx:pt>
          <cx:pt idx="4">1716.3815789473699</cx:pt>
          <cx:pt idx="5">1732.21818181818</cx:pt>
          <cx:pt idx="6">1843.3130434782599</cx:pt>
          <cx:pt idx="7">1968.0309523809501</cx:pt>
          <cx:pt idx="8">1922.21363636364</cx:pt>
          <cx:pt idx="9">1900.2750000000001</cx:pt>
          <cx:pt idx="10">1863.49285714286</cx:pt>
          <cx:pt idx="11">1855.9552631578899</cx:pt>
        </cx:lvl>
      </cx:numDim>
    </cx:data>
    <cx:data id="10">
      <cx:numDim type="val">
        <cx:f dir="row">'Q9'!$B$14:$M$14</cx:f>
        <cx:lvl ptCount="12" formatCode="0,00">
          <cx:pt idx="0">1866.9849999999999</cx:pt>
          <cx:pt idx="1">1808.175</cx:pt>
          <cx:pt idx="2">1718.22826086957</cx:pt>
          <cx:pt idx="3">1761.6775</cx:pt>
          <cx:pt idx="4">1855.5599999999999</cx:pt>
          <cx:pt idx="5">1834.5659090909101</cx:pt>
          <cx:pt idx="6">1807.09318181818</cx:pt>
          <cx:pt idx="7">1783.9690476190499</cx:pt>
          <cx:pt idx="8">1777.2522727272701</cx:pt>
          <cx:pt idx="9">1776.8547619047599</cx:pt>
          <cx:pt idx="10">1820.2340909090899</cx:pt>
          <cx:pt idx="11">1786.6526315789499</cx:pt>
        </cx:lvl>
      </cx:numDim>
    </cx:data>
    <cx:data id="11">
      <cx:numDim type="val">
        <cx:f dir="row">'Q9'!$B$15:$M$15</cx:f>
        <cx:lvl ptCount="12" formatCode="0,00">
          <cx:pt idx="0">1816.7650000000001</cx:pt>
          <cx:pt idx="1">1856.2950000000001</cx:pt>
          <cx:pt idx="2">1947.8282608695699</cx:pt>
          <cx:pt idx="3">1933.9000000000001</cx:pt>
          <cx:pt idx="4">1849.83318181818</cx:pt>
          <cx:pt idx="5">1837.0640909090901</cx:pt>
          <cx:pt idx="6">1737.3804761904801</cx:pt>
          <cx:pt idx="7">1764.1326086956501</cx:pt>
          <cx:pt idx="8">1683.20818181818</cx:pt>
          <cx:pt idx="9">1666.62666666667</cx:pt>
          <cx:pt idx="10">1727.89863636364</cx:pt>
          <cx:pt idx="11">1797.4081818181801</cx:pt>
        </cx:lvl>
      </cx:numDim>
    </cx:data>
    <cx:data id="12">
      <cx:numDim type="val">
        <cx:f dir="row">'Q9'!$B$16:$M$16</cx:f>
        <cx:lvl ptCount="12" formatCode="0,00">
          <cx:pt idx="0">1896.0595454545501</cx:pt>
          <cx:pt idx="1">1853.4090000000001</cx:pt>
          <cx:pt idx="2">1913.6482608695701</cx:pt>
          <cx:pt idx="3">1999.6685</cx:pt>
          <cx:pt idx="4">1989.8269565217399</cx:pt>
          <cx:pt idx="5">1944.7286363636399</cx:pt>
          <cx:pt idx="6">1950.27</cx:pt>
          <cx:pt idx="7">1919.30217391304</cx:pt>
          <cx:pt idx="8">1915.4347619047601</cx:pt>
          <cx:pt idx="9">1913.98454545455</cx:pt>
          <cx:pt idx="10">1985.7777272727301</cx:pt>
          <cx:pt idx="11">2034.7042857142901</cx:pt>
        </cx:lvl>
      </cx:numDim>
    </cx:data>
    <cx:data id="13">
      <cx:numDim type="val">
        <cx:f dir="row">'Q9'!$B$17:$M$17</cx:f>
        <cx:lvl ptCount="12" formatCode="0,00">
          <cx:pt idx="0">2034.00608695652</cx:pt>
          <cx:pt idx="1">2024.4461904761899</cx:pt>
          <cx:pt idx="2">2162.3461904761898</cx:pt>
          <cx:pt idx="3">2333.5504545454501</cx:pt>
          <cx:pt idx="4">2350.5965217391299</cx:pt>
          <cx:pt idx="5">2328.2624999999998</cx:pt>
          <cx:pt idx="6">2393.9621739130398</cx:pt>
          <cx:pt idx="7">2468.3286363636398</cx:pt>
          <cx:pt idx="8">2569.0490476190498</cx:pt>
          <cx:pt idx="9">2689.1286956521699</cx:pt>
          <cx:pt idx="10">2652.1995238095201</cx:pt>
          <cx:pt idx="11">2640.6054545454499</cx:pt>
        </cx:lvl>
      </cx:numDim>
    </cx:data>
    <cx:data id="14">
      <cx:numDim type="val">
        <cx:f dir="row">'Q9'!$B$18:$M$18</cx:f>
        <cx:lvl ptCount="12" formatCode="0,00">
          <cx:pt idx="0">2707.4673913043498</cx:pt>
          <cx:pt idx="1">2894.3800000000001</cx:pt>
          <cx:pt idx="2">2986.2561904761901</cx:pt>
          <cx:pt idx="3">3222.0118181818202</cx:pt>
          <cx:pt idx="4">3288.0095454545499</cx:pt>
          <cx:pt idx="5">3351.85857142857</cx:pt>
          <cx:pt idx="6">3341.6491304347801</cx:pt>
          <cx:pt idx="7">3367.2561904761901</cx:pt>
          <cx:pt idx="8">3666.52363636364</cx:pt>
          <cx:pt idx="9">4055.1686956521698</cx:pt>
        </cx:lvl>
      </cx:numDim>
    </cx:data>
  </cx:chartData>
  <cx:chart>
    <cx:title pos="t" align="ctr" overlay="0">
      <cx:tx>
        <cx:txData>
          <cx:v>Distribution  du prix de l'or mensuels pour chaque année</cx:v>
        </cx:txData>
      </cx:tx>
      <cx:txPr>
        <a:bodyPr rot="0" spcFirstLastPara="1" vertOverflow="ellipsis" vert="horz" wrap="square" lIns="38100" tIns="19050" rIns="38100" bIns="19050" anchor="ctr" anchorCtr="1" compatLnSpc="0"/>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fr-FR" sz="1400" b="1" i="0" u="none" strike="noStrike" cap="all" spc="150" baseline="0">
              <a:solidFill>
                <a:sysClr val="windowText" lastClr="000000">
                  <a:lumMod val="50000"/>
                  <a:lumOff val="50000"/>
                </a:sysClr>
              </a:solidFill>
              <a:effectLst/>
              <a:latin typeface="Calibri" panose="020F0502020204030204"/>
              <a:ea typeface="Calibri" panose="020F0502020204030204" pitchFamily="34" charset="0"/>
              <a:cs typeface="Calibri" panose="020F0502020204030204" pitchFamily="34" charset="0"/>
            </a:rPr>
            <a:t>Distribution  du prix de l'or mensuels pour chaque année</a:t>
          </a:r>
        </a:p>
      </cx:txPr>
    </cx:title>
    <cx:plotArea>
      <cx:plotAreaRegion>
        <cx:series layoutId="boxWhisker" uniqueId="{BC861458-2189-4C9A-84F8-6063EAAEBA6D}">
          <cx:tx>
            <cx:txData>
              <cx:f>'Q9'!$A$4</cx:f>
              <cx:v>2011</cx:v>
            </cx:txData>
          </cx:tx>
          <cx:dataId val="0"/>
          <cx:layoutPr>
            <cx:visibility meanLine="1" meanMarker="0" nonoutliers="1" outliers="1"/>
            <cx:statistics quartileMethod="exclusive"/>
          </cx:layoutPr>
        </cx:series>
        <cx:series layoutId="boxWhisker" uniqueId="{B5184E1F-EA0E-43EF-A7A1-5C8CEDF930F2}">
          <cx:tx>
            <cx:txData>
              <cx:f>'Q9'!$A$5</cx:f>
              <cx:v>2012</cx:v>
            </cx:txData>
          </cx:tx>
          <cx:dataId val="1"/>
          <cx:layoutPr>
            <cx:visibility meanLine="1" meanMarker="0" nonoutliers="1" outliers="1"/>
            <cx:statistics quartileMethod="exclusive"/>
          </cx:layoutPr>
        </cx:series>
        <cx:series layoutId="boxWhisker" uniqueId="{8A188060-5C33-4850-92B7-64F69B08BC4A}">
          <cx:tx>
            <cx:txData>
              <cx:f>'Q9'!$A$6</cx:f>
              <cx:v>2013</cx:v>
            </cx:txData>
          </cx:tx>
          <cx:dataId val="2"/>
          <cx:layoutPr>
            <cx:visibility meanLine="1" meanMarker="0" nonoutliers="1" outliers="1"/>
            <cx:statistics quartileMethod="exclusive"/>
          </cx:layoutPr>
        </cx:series>
        <cx:series layoutId="boxWhisker" uniqueId="{679DB4CE-B569-485A-9006-4576BA5ED86D}">
          <cx:tx>
            <cx:txData>
              <cx:f>'Q9'!$A$7</cx:f>
              <cx:v>2014</cx:v>
            </cx:txData>
          </cx:tx>
          <cx:dataId val="3"/>
          <cx:layoutPr>
            <cx:visibility meanLine="1" meanMarker="0" nonoutliers="1" outliers="1"/>
            <cx:statistics quartileMethod="exclusive"/>
          </cx:layoutPr>
        </cx:series>
        <cx:series layoutId="boxWhisker" uniqueId="{F7F52A77-F53A-4378-94C0-5FD479F5C042}">
          <cx:tx>
            <cx:txData>
              <cx:f>'Q9'!$A$8</cx:f>
              <cx:v>2015</cx:v>
            </cx:txData>
          </cx:tx>
          <cx:dataId val="4"/>
          <cx:layoutPr>
            <cx:visibility meanLine="1" meanMarker="0" nonoutliers="1" outliers="1"/>
            <cx:statistics quartileMethod="exclusive"/>
          </cx:layoutPr>
        </cx:series>
        <cx:series layoutId="boxWhisker" uniqueId="{6C58185F-FDCA-4EE4-BB78-77EB78B966DB}">
          <cx:tx>
            <cx:txData>
              <cx:f>'Q9'!$A$9</cx:f>
              <cx:v>2016</cx:v>
            </cx:txData>
          </cx:tx>
          <cx:dataId val="5"/>
          <cx:layoutPr>
            <cx:visibility meanLine="1" meanMarker="0" nonoutliers="1" outliers="1"/>
            <cx:statistics quartileMethod="exclusive"/>
          </cx:layoutPr>
        </cx:series>
        <cx:series layoutId="boxWhisker" uniqueId="{04647F0D-29CB-4F57-9B1F-BDCB6CCCA733}">
          <cx:tx>
            <cx:txData>
              <cx:f>'Q9'!$A$10</cx:f>
              <cx:v>2017</cx:v>
            </cx:txData>
          </cx:tx>
          <cx:dataId val="6"/>
          <cx:layoutPr>
            <cx:visibility meanLine="1" meanMarker="0" nonoutliers="1" outliers="1"/>
            <cx:statistics quartileMethod="exclusive"/>
          </cx:layoutPr>
        </cx:series>
        <cx:series layoutId="boxWhisker" uniqueId="{0F320E33-1146-4274-B514-74782B62E326}">
          <cx:tx>
            <cx:txData>
              <cx:f>'Q9'!$A$11</cx:f>
              <cx:v>2018</cx:v>
            </cx:txData>
          </cx:tx>
          <cx:dataId val="7"/>
          <cx:layoutPr>
            <cx:visibility meanLine="1" meanMarker="0" nonoutliers="1" outliers="1"/>
            <cx:statistics quartileMethod="exclusive"/>
          </cx:layoutPr>
        </cx:series>
        <cx:series layoutId="boxWhisker" uniqueId="{BA9F8301-2303-404D-B127-6797FFC5E781}">
          <cx:tx>
            <cx:txData>
              <cx:f>'Q9'!$A$12</cx:f>
              <cx:v>2019</cx:v>
            </cx:txData>
          </cx:tx>
          <cx:dataId val="8"/>
          <cx:layoutPr>
            <cx:visibility meanLine="1" meanMarker="0" nonoutliers="1" outliers="1"/>
            <cx:statistics quartileMethod="exclusive"/>
          </cx:layoutPr>
        </cx:series>
        <cx:series layoutId="boxWhisker" uniqueId="{71D70317-D298-438E-825C-F164062BF12E}">
          <cx:tx>
            <cx:txData>
              <cx:f>'Q9'!$A$13</cx:f>
              <cx:v>2020</cx:v>
            </cx:txData>
          </cx:tx>
          <cx:dataId val="9"/>
          <cx:layoutPr>
            <cx:visibility meanLine="1" meanMarker="0" nonoutliers="1" outliers="1"/>
            <cx:statistics quartileMethod="exclusive"/>
          </cx:layoutPr>
        </cx:series>
        <cx:series layoutId="boxWhisker" uniqueId="{F7957666-D7C2-4886-8699-699D5EB211D0}">
          <cx:tx>
            <cx:txData>
              <cx:f>'Q9'!$A$14</cx:f>
              <cx:v>2021</cx:v>
            </cx:txData>
          </cx:tx>
          <cx:dataId val="10"/>
          <cx:layoutPr>
            <cx:visibility meanLine="1" meanMarker="0" nonoutliers="1" outliers="1"/>
            <cx:statistics quartileMethod="exclusive"/>
          </cx:layoutPr>
        </cx:series>
        <cx:series layoutId="boxWhisker" uniqueId="{F8F772CB-7654-4469-A1ED-994E5AFA8BAB}">
          <cx:tx>
            <cx:txData>
              <cx:f>'Q9'!$A$15</cx:f>
              <cx:v>2022</cx:v>
            </cx:txData>
          </cx:tx>
          <cx:dataId val="11"/>
          <cx:layoutPr>
            <cx:visibility meanLine="1" meanMarker="0" nonoutliers="1" outliers="1"/>
            <cx:statistics quartileMethod="exclusive"/>
          </cx:layoutPr>
        </cx:series>
        <cx:series layoutId="boxWhisker" uniqueId="{242A3673-CD02-4C01-B063-48144C64FFEB}">
          <cx:tx>
            <cx:txData>
              <cx:f>'Q9'!$A$16</cx:f>
              <cx:v>2023</cx:v>
            </cx:txData>
          </cx:tx>
          <cx:dataId val="12"/>
          <cx:layoutPr>
            <cx:visibility meanLine="1" meanMarker="0" nonoutliers="1" outliers="1"/>
            <cx:statistics quartileMethod="exclusive"/>
          </cx:layoutPr>
        </cx:series>
        <cx:series layoutId="boxWhisker" uniqueId="{D4958045-CE8B-4ADD-A923-298B196CE08A}">
          <cx:tx>
            <cx:txData>
              <cx:f>'Q9'!$A$17</cx:f>
              <cx:v>2024</cx:v>
            </cx:txData>
          </cx:tx>
          <cx:dataId val="13"/>
          <cx:layoutPr>
            <cx:visibility meanLine="1" meanMarker="0" nonoutliers="1" outliers="1"/>
            <cx:statistics quartileMethod="exclusive"/>
          </cx:layoutPr>
        </cx:series>
        <cx:series layoutId="boxWhisker" uniqueId="{7E28CD73-067A-44FA-8E70-AB73E4108B76}">
          <cx:tx>
            <cx:txData>
              <cx:f>'Q9'!$A$18</cx:f>
              <cx:v>2025</cx:v>
            </cx:txData>
          </cx:tx>
          <cx:dataId val="14"/>
          <cx:layoutPr>
            <cx:visibility meanLine="1" meanMarker="0" nonoutliers="1" outliers="1"/>
            <cx:statistics quartileMethod="exclusive"/>
          </cx:layoutPr>
        </cx:series>
      </cx:plotAreaRegion>
      <cx:axis id="0" hidden="1">
        <cx:catScaling gapWidth="1.10000002"/>
        <cx:tickLabels/>
      </cx:axis>
      <cx:axis id="1">
        <cx:valScaling max="4500" min="1000"/>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dk1">
            <a:lumMod val="75000"/>
            <a:lumOff val="25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dk1">
            <a:lumMod val="75000"/>
            <a:lumOff val="25000"/>
          </a:schemeClr>
        </a:solidFill>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407">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ln>
        <a:solidFill>
          <a:schemeClr val="phClr"/>
        </a:solidFill>
      </a:ln>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407">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ln>
        <a:solidFill>
          <a:schemeClr val="phClr"/>
        </a:solidFill>
      </a:ln>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0.08578</cdr:x>
      <cdr:y>0.17842</cdr:y>
    </cdr:from>
    <cdr:to>
      <cdr:x>1</cdr:x>
      <cdr:y>0.61132</cdr:y>
    </cdr:to>
    <cdr:cxnSp macro="">
      <cdr:nvCxnSpPr>
        <cdr:cNvPr id="3" name="Connecteur droit 2">
          <a:extLst xmlns:a="http://schemas.openxmlformats.org/drawingml/2006/main">
            <a:ext uri="{FF2B5EF4-FFF2-40B4-BE49-F238E27FC236}">
              <a16:creationId xmlns:a16="http://schemas.microsoft.com/office/drawing/2014/main" id="{DFB08939-284B-F496-186F-AF3D3A44C0B1}"/>
            </a:ext>
          </a:extLst>
        </cdr:cNvPr>
        <cdr:cNvCxnSpPr/>
      </cdr:nvCxnSpPr>
      <cdr:spPr>
        <a:xfrm xmlns:a="http://schemas.openxmlformats.org/drawingml/2006/main" flipV="1">
          <a:off x="318052" y="485030"/>
          <a:ext cx="3389713" cy="1176793"/>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0.07935</cdr:x>
      <cdr:y>0.63179</cdr:y>
    </cdr:from>
    <cdr:to>
      <cdr:x>0.98433</cdr:x>
      <cdr:y>0.84239</cdr:y>
    </cdr:to>
    <cdr:cxnSp macro="">
      <cdr:nvCxnSpPr>
        <cdr:cNvPr id="4" name="Connecteur droit 3">
          <a:extLst xmlns:a="http://schemas.openxmlformats.org/drawingml/2006/main">
            <a:ext uri="{FF2B5EF4-FFF2-40B4-BE49-F238E27FC236}">
              <a16:creationId xmlns:a16="http://schemas.microsoft.com/office/drawing/2014/main" id="{0A860998-D4FD-D29B-9CBF-5F86CFB1BB5E}"/>
            </a:ext>
          </a:extLst>
        </cdr:cNvPr>
        <cdr:cNvCxnSpPr/>
      </cdr:nvCxnSpPr>
      <cdr:spPr>
        <a:xfrm xmlns:a="http://schemas.openxmlformats.org/drawingml/2006/main" flipV="1">
          <a:off x="294197" y="1717483"/>
          <a:ext cx="3355451" cy="572494"/>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1461</TotalTime>
  <Pages>7</Pages>
  <Words>1944</Words>
  <Characters>10693</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Chirol</dc:creator>
  <cp:keywords/>
  <dc:description/>
  <cp:lastModifiedBy>Quentin Chirol</cp:lastModifiedBy>
  <cp:revision>128</cp:revision>
  <dcterms:created xsi:type="dcterms:W3CDTF">2025-11-30T17:05:00Z</dcterms:created>
  <dcterms:modified xsi:type="dcterms:W3CDTF">2025-12-06T20:49:00Z</dcterms:modified>
</cp:coreProperties>
</file>