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540"/>
      </w:tblGrid>
      <w:tr>
        <w:tc>
          <w:tcPr>
            <w:tcW w:type="dxa" w:w="10540"/>
            <w:shd w:val="clear" w:color="auto" w:fill="1A3D6E"/>
            <w:tcBorders>
              <w:top w:val="nil"/>
              <w:left w:val="nil"/>
              <w:bottom w:val="nil"/>
              <w:right w:val="nil"/>
            </w:tcBorders>
          </w:tcPr>
          <w:p>
            <w:pPr>
              <w:spacing w:before="40" w:after="0"/>
              <w:jc w:val="left"/>
            </w:pPr>
            <w:r>
              <w:rPr>
                <w:rFonts w:ascii="Calibri" w:hAnsi="Calibri"/>
                <w:b/>
                <w:i w:val="0"/>
                <w:color w:val="FFFFFF"/>
                <w:sz w:val="36"/>
              </w:rPr>
              <w:t>SYNTHÈSE DIRECTION  —  Go / No-go</w:t>
            </w:r>
          </w:p>
          <w:p>
            <w:pPr>
              <w:spacing w:after="40"/>
            </w:pPr>
            <w:r>
              <w:rPr>
                <w:rFonts w:ascii="Calibri" w:hAnsi="Calibri"/>
                <w:b w:val="0"/>
                <w:i/>
                <w:color w:val="CCD9E8"/>
                <w:sz w:val="18"/>
              </w:rPr>
              <w:t>Repair Ingenierie  ·  Analyse du 05/05/2026</w:t>
            </w:r>
          </w:p>
        </w:tc>
      </w:tr>
    </w:tbl>
    <w:p>
      <w:pPr>
        <w:spacing w:after="120"/>
      </w:pPr>
    </w:p>
    <w:tbl>
      <w:tblPr>
        <w:tblW w:type="auto" w:w="0"/>
        <w:tblLayout w:type="fixed"/>
        <w:tblLook w:firstColumn="1" w:firstRow="1" w:lastColumn="0" w:lastRow="0" w:noHBand="0" w:noVBand="1" w:val="04A0"/>
      </w:tblPr>
      <w:tblGrid>
        <w:gridCol w:w="6236"/>
        <w:gridCol w:w="3969"/>
      </w:tblGrid>
      <w:tr>
        <w:tc>
          <w:tcPr>
            <w:tcW w:type="dxa" w:w="5270"/>
            <w:tcBorders>
              <w:top w:val="nil"/>
              <w:left w:val="single" w:sz="24" w:space="0" w:color="1A3D6E"/>
              <w:bottom w:val="nil"/>
              <w:right w:val="nil"/>
            </w:tcBorders>
            <w:shd w:val="clear" w:color="auto" w:fill="E8EDF5"/>
            <w:vAlign w:val="top"/>
          </w:tcPr>
          <w:p>
            <w:pPr>
              <w:spacing w:after="80"/>
            </w:pPr>
            <w:r/>
            <w:r>
              <w:rPr>
                <w:rFonts w:ascii="Calibri" w:hAnsi="Calibri"/>
                <w:b/>
                <w:i w:val="0"/>
                <w:color w:val="1A3D6E"/>
                <w:sz w:val="20"/>
              </w:rPr>
              <w:t>IDENTITÉ DU MARCHÉ</w:t>
            </w:r>
          </w:p>
          <w:p>
            <w:pPr>
              <w:spacing w:after="40"/>
            </w:pPr>
            <w:r>
              <w:rPr>
                <w:rFonts w:ascii="Calibri" w:hAnsi="Calibri"/>
                <w:b/>
                <w:i w:val="0"/>
                <w:sz w:val="18"/>
              </w:rPr>
              <w:t xml:space="preserve">Objet : </w:t>
            </w:r>
            <w:r>
              <w:rPr>
                <w:rFonts w:ascii="Calibri" w:hAnsi="Calibri"/>
                <w:b w:val="0"/>
                <w:i w:val="0"/>
                <w:sz w:val="18"/>
              </w:rPr>
              <w:t>Mission de diagnostic structurel et de maîtrise d'œuvre de travaux de confortement sur le patrimoine bâti de l'OPH des Vallées de l'Isère.</w:t>
            </w:r>
          </w:p>
          <w:p>
            <w:pPr>
              <w:spacing w:after="40"/>
            </w:pPr>
            <w:r>
              <w:rPr>
                <w:rFonts w:ascii="Calibri" w:hAnsi="Calibri"/>
                <w:b/>
                <w:i w:val="0"/>
                <w:sz w:val="18"/>
              </w:rPr>
              <w:t xml:space="preserve">Pouvoir adjudicateur : </w:t>
            </w:r>
            <w:r>
              <w:rPr>
                <w:rFonts w:ascii="Calibri" w:hAnsi="Calibri"/>
                <w:b w:val="0"/>
                <w:i w:val="0"/>
                <w:sz w:val="18"/>
              </w:rPr>
              <w:t>OPH des Vallées de l'Isère</w:t>
            </w:r>
          </w:p>
          <w:p>
            <w:pPr>
              <w:spacing w:after="40"/>
            </w:pPr>
            <w:r>
              <w:rPr>
                <w:rFonts w:ascii="Calibri" w:hAnsi="Calibri"/>
                <w:b/>
                <w:i w:val="0"/>
                <w:sz w:val="18"/>
              </w:rPr>
              <w:t xml:space="preserve">Type de marché : </w:t>
            </w:r>
            <w:r>
              <w:rPr>
                <w:rFonts w:ascii="Calibri" w:hAnsi="Calibri"/>
                <w:b w:val="0"/>
                <w:i w:val="0"/>
                <w:sz w:val="18"/>
              </w:rPr>
              <w:t>a-bons-de-commande</w:t>
            </w:r>
          </w:p>
          <w:p>
            <w:pPr>
              <w:spacing w:after="40"/>
            </w:pPr>
            <w:r>
              <w:rPr>
                <w:rFonts w:ascii="Calibri" w:hAnsi="Calibri"/>
                <w:b/>
                <w:i w:val="0"/>
                <w:sz w:val="18"/>
              </w:rPr>
              <w:t xml:space="preserve">Date limite de remise : </w:t>
            </w:r>
            <w:r>
              <w:rPr>
                <w:rFonts w:ascii="Calibri" w:hAnsi="Calibri"/>
                <w:b w:val="0"/>
                <w:i w:val="0"/>
                <w:sz w:val="18"/>
              </w:rPr>
              <w:t>22 juin 2026 à 12h00</w:t>
            </w:r>
          </w:p>
          <w:p>
            <w:pPr>
              <w:spacing w:after="40"/>
            </w:pPr>
            <w:r>
              <w:rPr>
                <w:rFonts w:ascii="Calibri" w:hAnsi="Calibri"/>
                <w:b/>
                <w:i w:val="0"/>
                <w:sz w:val="18"/>
              </w:rPr>
              <w:t xml:space="preserve">Durée : </w:t>
            </w:r>
            <w:r>
              <w:rPr>
                <w:rFonts w:ascii="Calibri" w:hAnsi="Calibri"/>
                <w:b w:val="0"/>
                <w:i w:val="0"/>
                <w:sz w:val="18"/>
              </w:rPr>
              <w:t>4 ans max (1 an initial + 3 reconductions tacites d'un an)</w:t>
            </w:r>
          </w:p>
        </w:tc>
        <w:tc>
          <w:tcPr>
            <w:tcW w:type="dxa" w:w="5270"/>
            <w:tcBorders>
              <w:top w:val="nil"/>
              <w:left w:val="nil"/>
              <w:bottom w:val="nil"/>
              <w:right w:val="nil"/>
            </w:tcBorders>
            <w:shd w:val="clear" w:color="auto" w:fill="106B3A"/>
            <w:tcBorders>
              <w:top w:val="nil"/>
              <w:left w:val="nil"/>
              <w:bottom w:val="nil"/>
              <w:right w:val="nil"/>
            </w:tcBorders>
            <w:vAlign w:val="center"/>
          </w:tcPr>
          <w:p>
            <w:pPr>
              <w:spacing w:before="200" w:after="40"/>
              <w:jc w:val="center"/>
            </w:pPr>
            <w:r>
              <w:rPr>
                <w:rFonts w:ascii="Calibri" w:hAnsi="Calibri"/>
                <w:b/>
                <w:i w:val="0"/>
                <w:color w:val="FFFFFF"/>
                <w:sz w:val="20"/>
              </w:rPr>
              <w:t>RECOMMANDATION</w:t>
            </w:r>
          </w:p>
          <w:p>
            <w:pPr>
              <w:spacing w:after="160"/>
              <w:jc w:val="center"/>
            </w:pPr>
            <w:r>
              <w:rPr>
                <w:rFonts w:ascii="Calibri" w:hAnsi="Calibri"/>
                <w:b/>
                <w:i w:val="0"/>
                <w:color w:val="FFFFFF"/>
                <w:sz w:val="44"/>
              </w:rPr>
              <w:t>GO</w:t>
            </w:r>
          </w:p>
        </w:tc>
      </w:tr>
    </w:tbl>
    <w:p>
      <w:pPr>
        <w:spacing w:after="80"/>
      </w:pPr>
    </w:p>
    <w:tbl>
      <w:tblPr>
        <w:tblW w:type="auto" w:w="0"/>
        <w:tblLayout w:type="fixed"/>
        <w:tblLook w:firstColumn="1" w:firstRow="1" w:lastColumn="0" w:lastRow="0" w:noHBand="0" w:noVBand="1" w:val="04A0"/>
      </w:tblPr>
      <w:tblGrid>
        <w:gridCol w:w="3402"/>
        <w:gridCol w:w="3402"/>
        <w:gridCol w:w="3402"/>
      </w:tblGrid>
      <w:tr>
        <w:tc>
          <w:tcPr>
            <w:tcW w:type="dxa" w:w="3513"/>
            <w:tcBorders>
              <w:top w:val="nil"/>
              <w:left w:val="nil"/>
              <w:bottom w:val="nil"/>
              <w:right w:val="nil"/>
            </w:tcBorders>
            <w:shd w:val="clear" w:color="auto" w:fill="F4F6FA"/>
            <w:tcBorders>
              <w:top w:val="nil"/>
              <w:left w:val="nil"/>
              <w:bottom w:val="nil"/>
              <w:right w:val="nil"/>
            </w:tcBorders>
            <w:vAlign w:val="center"/>
          </w:tcPr>
          <w:p>
            <w:pPr>
              <w:spacing w:before="80" w:after="0"/>
              <w:jc w:val="center"/>
            </w:pPr>
            <w:r>
              <w:rPr>
                <w:rFonts w:ascii="Calibri" w:hAnsi="Calibri"/>
                <w:b/>
                <w:i w:val="0"/>
                <w:color w:val="666666"/>
                <w:sz w:val="16"/>
              </w:rPr>
              <w:t>MONTANT MAXIMUM HT</w:t>
            </w:r>
          </w:p>
          <w:p>
            <w:pPr>
              <w:spacing w:after="80"/>
              <w:jc w:val="center"/>
            </w:pPr>
            <w:r>
              <w:rPr>
                <w:rFonts w:ascii="Calibri" w:hAnsi="Calibri"/>
                <w:b/>
                <w:i w:val="0"/>
                <w:color w:val="1A3D6E"/>
                <w:sz w:val="24"/>
              </w:rPr>
              <w:t>800 000 € HT</w:t>
            </w:r>
          </w:p>
        </w:tc>
        <w:tc>
          <w:tcPr>
            <w:tcW w:type="dxa" w:w="3513"/>
            <w:tcBorders>
              <w:top w:val="nil"/>
              <w:left w:val="nil"/>
              <w:bottom w:val="nil"/>
              <w:right w:val="nil"/>
            </w:tcBorders>
            <w:shd w:val="clear" w:color="auto" w:fill="F4F6FA"/>
            <w:tcBorders>
              <w:top w:val="nil"/>
              <w:left w:val="nil"/>
              <w:bottom w:val="nil"/>
              <w:right w:val="nil"/>
            </w:tcBorders>
            <w:vAlign w:val="center"/>
          </w:tcPr>
          <w:p>
            <w:pPr>
              <w:spacing w:before="80" w:after="0"/>
              <w:jc w:val="center"/>
            </w:pPr>
            <w:r>
              <w:rPr>
                <w:rFonts w:ascii="Calibri" w:hAnsi="Calibri"/>
                <w:b/>
                <w:i w:val="0"/>
                <w:color w:val="666666"/>
                <w:sz w:val="16"/>
              </w:rPr>
              <w:t>DQE ESTIMÉ HT</w:t>
            </w:r>
          </w:p>
          <w:p>
            <w:pPr>
              <w:spacing w:after="80"/>
              <w:jc w:val="center"/>
            </w:pPr>
            <w:r>
              <w:rPr>
                <w:rFonts w:ascii="Calibri" w:hAnsi="Calibri"/>
                <w:b/>
                <w:i w:val="0"/>
                <w:color w:val="1A3D6E"/>
                <w:sz w:val="24"/>
              </w:rPr>
              <w:t>192 970 € HT</w:t>
            </w:r>
          </w:p>
        </w:tc>
        <w:tc>
          <w:tcPr>
            <w:tcW w:type="dxa" w:w="3513"/>
            <w:tcBorders>
              <w:top w:val="nil"/>
              <w:left w:val="nil"/>
              <w:bottom w:val="nil"/>
              <w:right w:val="nil"/>
            </w:tcBorders>
            <w:shd w:val="clear" w:color="auto" w:fill="F4F6FA"/>
            <w:tcBorders>
              <w:top w:val="nil"/>
              <w:left w:val="nil"/>
              <w:bottom w:val="nil"/>
              <w:right w:val="nil"/>
            </w:tcBorders>
            <w:vAlign w:val="center"/>
          </w:tcPr>
          <w:p>
            <w:pPr>
              <w:spacing w:before="80" w:after="0"/>
              <w:jc w:val="center"/>
            </w:pPr>
            <w:r>
              <w:rPr>
                <w:rFonts w:ascii="Calibri" w:hAnsi="Calibri"/>
                <w:b/>
                <w:i w:val="0"/>
                <w:color w:val="666666"/>
                <w:sz w:val="16"/>
              </w:rPr>
              <w:t>DATE LIMITE</w:t>
            </w:r>
          </w:p>
          <w:p>
            <w:pPr>
              <w:spacing w:after="80"/>
              <w:jc w:val="center"/>
            </w:pPr>
            <w:r>
              <w:rPr>
                <w:rFonts w:ascii="Calibri" w:hAnsi="Calibri"/>
                <w:b/>
                <w:i w:val="0"/>
                <w:color w:val="1A3D6E"/>
                <w:sz w:val="24"/>
              </w:rPr>
              <w:t>22 juin 2026 à 12h00</w:t>
            </w:r>
          </w:p>
        </w:tc>
      </w:tr>
    </w:tbl>
    <w:p>
      <w:pPr>
        <w:spacing w:after="80"/>
      </w:pPr>
    </w:p>
    <w:tbl>
      <w:tblPr>
        <w:tblW w:type="auto" w:w="0"/>
        <w:tblLayout w:type="fixed"/>
        <w:tblLook w:firstColumn="1" w:firstRow="1" w:lastColumn="0" w:lastRow="0" w:noHBand="0" w:noVBand="1" w:val="04A0"/>
      </w:tblPr>
      <w:tblGrid>
        <w:gridCol w:w="5102"/>
        <w:gridCol w:w="5102"/>
      </w:tblGrid>
      <w:tr>
        <w:tc>
          <w:tcPr>
            <w:tcW w:type="dxa" w:w="5270"/>
            <w:tcBorders>
              <w:top w:val="nil"/>
              <w:left w:val="single" w:sz="24" w:space="0" w:color="106B3A"/>
              <w:bottom w:val="nil"/>
              <w:right w:val="nil"/>
            </w:tcBorders>
            <w:shd w:val="clear" w:color="auto" w:fill="E8F5EE"/>
          </w:tcPr>
          <w:p>
            <w:pPr>
              <w:spacing w:after="80"/>
            </w:pPr>
            <w:r/>
            <w:r>
              <w:rPr>
                <w:rFonts w:ascii="Calibri" w:hAnsi="Calibri"/>
                <w:b/>
                <w:i w:val="0"/>
                <w:color w:val="106B3A"/>
                <w:sz w:val="20"/>
              </w:rPr>
              <w:t>✓  ATOUTS DU CANDIDAT</w:t>
            </w:r>
          </w:p>
          <w:p>
            <w:pPr>
              <w:spacing w:after="40"/>
              <w:ind w:left="170"/>
            </w:pPr>
            <w:r>
              <w:rPr>
                <w:rFonts w:ascii="Calibri" w:hAnsi="Calibri"/>
                <w:b w:val="0"/>
                <w:i w:val="0"/>
                <w:color w:val="1A3D6E"/>
                <w:sz w:val="18"/>
              </w:rPr>
              <w:t xml:space="preserve">▪  </w:t>
            </w:r>
            <w:r>
              <w:rPr>
                <w:rFonts w:ascii="Calibri" w:hAnsi="Calibri"/>
                <w:b w:val="0"/>
                <w:i w:val="0"/>
                <w:sz w:val="18"/>
              </w:rPr>
              <w:t>Cœur de métier (pathologie/consolidation) parfaitement aligné avec l'objet du marché, contrairement aux BET généralistes.</w:t>
            </w:r>
          </w:p>
          <w:p>
            <w:pPr>
              <w:spacing w:after="40"/>
              <w:ind w:left="170"/>
            </w:pPr>
            <w:r>
              <w:rPr>
                <w:rFonts w:ascii="Calibri" w:hAnsi="Calibri"/>
                <w:b w:val="0"/>
                <w:i w:val="0"/>
                <w:color w:val="1A3D6E"/>
                <w:sz w:val="18"/>
              </w:rPr>
              <w:t xml:space="preserve">▪  </w:t>
            </w:r>
            <w:r>
              <w:rPr>
                <w:rFonts w:ascii="Calibri" w:hAnsi="Calibri"/>
                <w:b w:val="0"/>
                <w:i w:val="0"/>
                <w:sz w:val="18"/>
              </w:rPr>
              <w:t>Expertise RGA avérée (plus de 50 sinistres traités) répondant directement à la problématique majeure du PA.</w:t>
            </w:r>
          </w:p>
          <w:p>
            <w:pPr>
              <w:spacing w:after="40"/>
              <w:ind w:left="170"/>
            </w:pPr>
            <w:r>
              <w:rPr>
                <w:rFonts w:ascii="Calibri" w:hAnsi="Calibri"/>
                <w:b w:val="0"/>
                <w:i w:val="0"/>
                <w:color w:val="1A3D6E"/>
                <w:sz w:val="18"/>
              </w:rPr>
              <w:t xml:space="preserve">▪  </w:t>
            </w:r>
            <w:r>
              <w:rPr>
                <w:rFonts w:ascii="Calibri" w:hAnsi="Calibri"/>
                <w:b w:val="0"/>
                <w:i w:val="0"/>
                <w:sz w:val="18"/>
              </w:rPr>
              <w:t>Qualifications OPQIBI 1801, 1802, 1803, 1812 détenues, valorisées explicitement dans les critères de jugement.</w:t>
            </w:r>
          </w:p>
          <w:p>
            <w:pPr>
              <w:spacing w:after="40"/>
              <w:ind w:left="170"/>
            </w:pPr>
            <w:r>
              <w:rPr>
                <w:rFonts w:ascii="Calibri" w:hAnsi="Calibri"/>
                <w:b w:val="0"/>
                <w:i w:val="0"/>
                <w:color w:val="1A3D6E"/>
                <w:sz w:val="18"/>
              </w:rPr>
              <w:t xml:space="preserve">▪  </w:t>
            </w:r>
            <w:r>
              <w:rPr>
                <w:rFonts w:ascii="Calibri" w:hAnsi="Calibri"/>
                <w:b w:val="0"/>
                <w:i w:val="0"/>
                <w:sz w:val="18"/>
              </w:rPr>
              <w:t>Capacité de réactivité éprouvée par la pratique des sinistres assurance, atout pour le critère 'Délais de réactivité'.</w:t>
            </w:r>
          </w:p>
          <w:p>
            <w:pPr>
              <w:spacing w:after="40"/>
              <w:ind w:left="170"/>
            </w:pPr>
            <w:r>
              <w:rPr>
                <w:rFonts w:ascii="Calibri" w:hAnsi="Calibri"/>
                <w:b w:val="0"/>
                <w:i w:val="0"/>
                <w:color w:val="1A3D6E"/>
                <w:sz w:val="18"/>
              </w:rPr>
              <w:t xml:space="preserve">▪  </w:t>
            </w:r>
            <w:r>
              <w:rPr>
                <w:rFonts w:ascii="Calibri" w:hAnsi="Calibri"/>
                <w:b w:val="0"/>
                <w:i w:val="0"/>
                <w:sz w:val="18"/>
              </w:rPr>
              <w:t>Maîtrise des interventions en site occupé et coordination locataires, point d'attention majeur du PA.</w:t>
            </w:r>
          </w:p>
        </w:tc>
        <w:tc>
          <w:tcPr>
            <w:tcW w:type="dxa" w:w="5270"/>
            <w:tcBorders>
              <w:top w:val="nil"/>
              <w:left w:val="single" w:sz="24" w:space="0" w:color="B54708"/>
              <w:bottom w:val="nil"/>
              <w:right w:val="nil"/>
            </w:tcBorders>
            <w:shd w:val="clear" w:color="auto" w:fill="FEF4E6"/>
          </w:tcPr>
          <w:p>
            <w:pPr>
              <w:spacing w:after="80"/>
            </w:pPr>
            <w:r/>
            <w:r>
              <w:rPr>
                <w:rFonts w:ascii="Calibri" w:hAnsi="Calibri"/>
                <w:b/>
                <w:i w:val="0"/>
                <w:color w:val="B54708"/>
                <w:sz w:val="20"/>
              </w:rPr>
              <w:t>⚠  RISQUES ET VIGILANCE</w:t>
            </w:r>
          </w:p>
          <w:p>
            <w:pPr>
              <w:spacing w:after="40"/>
              <w:ind w:left="170"/>
            </w:pPr>
            <w:r>
              <w:rPr>
                <w:rFonts w:ascii="Calibri" w:hAnsi="Calibri"/>
                <w:b w:val="0"/>
                <w:i w:val="0"/>
                <w:color w:val="1A3D6E"/>
                <w:sz w:val="18"/>
              </w:rPr>
              <w:t xml:space="preserve">▪  </w:t>
            </w:r>
            <w:r>
              <w:rPr>
                <w:rFonts w:ascii="Calibri" w:hAnsi="Calibri"/>
                <w:b w:val="0"/>
                <w:i w:val="0"/>
                <w:sz w:val="18"/>
              </w:rPr>
              <w:t>Accord-cadre sans minimum de commande, le volume d'affaires réel est incertain sur 4 ans.</w:t>
            </w:r>
          </w:p>
          <w:p>
            <w:pPr>
              <w:spacing w:after="40"/>
              <w:ind w:left="170"/>
            </w:pPr>
            <w:r>
              <w:rPr>
                <w:rFonts w:ascii="Calibri" w:hAnsi="Calibri"/>
                <w:b w:val="0"/>
                <w:i w:val="0"/>
                <w:color w:val="1A3D6E"/>
                <w:sz w:val="18"/>
              </w:rPr>
              <w:t xml:space="preserve">▪  </w:t>
            </w:r>
            <w:r>
              <w:rPr>
                <w:rFonts w:ascii="Calibri" w:hAnsi="Calibri"/>
                <w:b w:val="0"/>
                <w:i w:val="0"/>
                <w:sz w:val="18"/>
              </w:rPr>
              <w:t>Forte exigence de réactivité (mobilisation sous 24h pour urgence) avec pénalités de 150 € HT/jour de retard.</w:t>
            </w:r>
          </w:p>
          <w:p>
            <w:pPr>
              <w:spacing w:after="40"/>
              <w:ind w:left="170"/>
            </w:pPr>
            <w:r>
              <w:rPr>
                <w:rFonts w:ascii="Calibri" w:hAnsi="Calibri"/>
                <w:b w:val="0"/>
                <w:i w:val="0"/>
                <w:color w:val="1A3D6E"/>
                <w:sz w:val="18"/>
              </w:rPr>
              <w:t xml:space="preserve">▪  </w:t>
            </w:r>
            <w:r>
              <w:rPr>
                <w:rFonts w:ascii="Calibri" w:hAnsi="Calibri"/>
                <w:b w:val="0"/>
                <w:i w:val="0"/>
                <w:sz w:val="18"/>
              </w:rPr>
              <w:t>Charge administrative importante pour la rédaction du mémoire technique (30 pages max, rubriques imposées).</w:t>
            </w:r>
          </w:p>
          <w:p>
            <w:pPr>
              <w:spacing w:after="40"/>
              <w:ind w:left="170"/>
            </w:pPr>
            <w:r>
              <w:rPr>
                <w:rFonts w:ascii="Calibri" w:hAnsi="Calibri"/>
                <w:b w:val="0"/>
                <w:i w:val="0"/>
                <w:color w:val="1A3D6E"/>
                <w:sz w:val="18"/>
              </w:rPr>
              <w:t xml:space="preserve">▪  </w:t>
            </w:r>
            <w:r>
              <w:rPr>
                <w:rFonts w:ascii="Calibri" w:hAnsi="Calibri"/>
                <w:b w:val="0"/>
                <w:i w:val="0"/>
                <w:sz w:val="18"/>
              </w:rPr>
              <w:t>Les prix sont fermes la première année et la révision annuelle est plafonnée à +5%, pouvant impacter la rentabilité à long terme.</w:t>
            </w:r>
          </w:p>
        </w:tc>
      </w:tr>
    </w:tbl>
    <w:p>
      <w:pPr>
        <w:spacing w:after="80"/>
      </w:pPr>
    </w:p>
    <w:tbl>
      <w:tblPr>
        <w:tblW w:type="auto" w:w="0"/>
        <w:tblLayout w:type="fixed"/>
        <w:tblLook w:firstColumn="1" w:firstRow="1" w:lastColumn="0" w:lastRow="0" w:noHBand="0" w:noVBand="1" w:val="04A0"/>
      </w:tblPr>
      <w:tblGrid>
        <w:gridCol w:w="5102"/>
        <w:gridCol w:w="5102"/>
      </w:tblGrid>
      <w:tr>
        <w:tc>
          <w:tcPr>
            <w:tcW w:type="dxa" w:w="5270"/>
            <w:tcBorders>
              <w:top w:val="nil"/>
              <w:left w:val="single" w:sz="20" w:space="0" w:color="1A3D6E"/>
              <w:bottom w:val="nil"/>
              <w:right w:val="nil"/>
            </w:tcBorders>
            <w:shd w:val="clear" w:color="auto" w:fill="F4F6FA"/>
          </w:tcPr>
          <w:p>
            <w:pPr>
              <w:spacing w:after="80"/>
            </w:pPr>
            <w:r/>
            <w:r>
              <w:rPr>
                <w:rFonts w:ascii="Calibri" w:hAnsi="Calibri"/>
                <w:b/>
                <w:i w:val="0"/>
                <w:color w:val="1A3D6E"/>
                <w:sz w:val="20"/>
              </w:rPr>
              <w:t>CRITÈRES DE JUGEMENT</w:t>
            </w:r>
          </w:p>
          <w:p>
            <w:pPr>
              <w:spacing w:after="40"/>
              <w:ind w:left="170"/>
            </w:pPr>
            <w:r>
              <w:rPr>
                <w:rFonts w:ascii="Calibri" w:hAnsi="Calibri"/>
                <w:b w:val="0"/>
                <w:i w:val="0"/>
                <w:color w:val="1A3D6E"/>
                <w:sz w:val="18"/>
              </w:rPr>
              <w:t xml:space="preserve">▪  </w:t>
            </w:r>
            <w:r>
              <w:rPr>
                <w:rFonts w:ascii="Calibri" w:hAnsi="Calibri"/>
                <w:b/>
                <w:i w:val="0"/>
                <w:sz w:val="18"/>
              </w:rPr>
              <w:t>Valeur technique</w:t>
            </w:r>
            <w:r>
              <w:rPr>
                <w:rFonts w:ascii="Calibri" w:hAnsi="Calibri"/>
                <w:b w:val="0"/>
                <w:i w:val="0"/>
                <w:sz w:val="18"/>
              </w:rPr>
              <w:t xml:space="preserve"> — 60 %</w:t>
            </w:r>
          </w:p>
          <w:p>
            <w:pPr>
              <w:spacing w:after="40"/>
              <w:ind w:left="170"/>
            </w:pPr>
            <w:r>
              <w:rPr>
                <w:rFonts w:ascii="Calibri" w:hAnsi="Calibri"/>
                <w:b w:val="0"/>
                <w:i w:val="0"/>
                <w:color w:val="1A3D6E"/>
                <w:sz w:val="18"/>
              </w:rPr>
              <w:t xml:space="preserve">▪  </w:t>
            </w:r>
            <w:r>
              <w:rPr>
                <w:rFonts w:ascii="Calibri" w:hAnsi="Calibri"/>
                <w:b/>
                <w:i w:val="0"/>
                <w:sz w:val="18"/>
              </w:rPr>
              <w:t>Prix</w:t>
            </w:r>
            <w:r>
              <w:rPr>
                <w:rFonts w:ascii="Calibri" w:hAnsi="Calibri"/>
                <w:b w:val="0"/>
                <w:i w:val="0"/>
                <w:sz w:val="18"/>
              </w:rPr>
              <w:t xml:space="preserve"> — 30 %</w:t>
            </w:r>
          </w:p>
          <w:p>
            <w:pPr>
              <w:spacing w:after="40"/>
              <w:ind w:left="170"/>
            </w:pPr>
            <w:r>
              <w:rPr>
                <w:rFonts w:ascii="Calibri" w:hAnsi="Calibri"/>
                <w:b w:val="0"/>
                <w:i w:val="0"/>
                <w:color w:val="1A3D6E"/>
                <w:sz w:val="18"/>
              </w:rPr>
              <w:t xml:space="preserve">▪  </w:t>
            </w:r>
            <w:r>
              <w:rPr>
                <w:rFonts w:ascii="Calibri" w:hAnsi="Calibri"/>
                <w:b/>
                <w:i w:val="0"/>
                <w:sz w:val="18"/>
              </w:rPr>
              <w:t>Délais de réactivité</w:t>
            </w:r>
            <w:r>
              <w:rPr>
                <w:rFonts w:ascii="Calibri" w:hAnsi="Calibri"/>
                <w:b w:val="0"/>
                <w:i w:val="0"/>
                <w:sz w:val="18"/>
              </w:rPr>
              <w:t xml:space="preserve"> — 10 %</w:t>
            </w:r>
          </w:p>
        </w:tc>
        <w:tc>
          <w:tcPr>
            <w:tcW w:type="dxa" w:w="5270"/>
            <w:tcBorders>
              <w:top w:val="nil"/>
              <w:left w:val="single" w:sz="20" w:space="0" w:color="1A3D6E"/>
              <w:bottom w:val="nil"/>
              <w:right w:val="nil"/>
            </w:tcBorders>
            <w:shd w:val="clear" w:color="auto" w:fill="F4F6FA"/>
          </w:tcPr>
          <w:p>
            <w:pPr>
              <w:spacing w:after="80"/>
            </w:pPr>
            <w:r/>
            <w:r>
              <w:rPr>
                <w:rFonts w:ascii="Calibri" w:hAnsi="Calibri"/>
                <w:b/>
                <w:i w:val="0"/>
                <w:color w:val="1A3D6E"/>
                <w:sz w:val="20"/>
              </w:rPr>
              <w:t>POINTS D'ATTENTION BUSINESS</w:t>
            </w:r>
          </w:p>
          <w:p>
            <w:pPr>
              <w:spacing w:after="40"/>
              <w:ind w:left="170"/>
            </w:pPr>
            <w:r>
              <w:rPr>
                <w:rFonts w:ascii="Calibri" w:hAnsi="Calibri"/>
                <w:b w:val="0"/>
                <w:i w:val="0"/>
                <w:color w:val="1A3D6E"/>
                <w:sz w:val="18"/>
              </w:rPr>
              <w:t xml:space="preserve">▪  </w:t>
            </w:r>
            <w:r>
              <w:rPr>
                <w:rFonts w:ascii="Calibri" w:hAnsi="Calibri"/>
                <w:b w:val="0"/>
                <w:i w:val="0"/>
                <w:sz w:val="18"/>
              </w:rPr>
              <w:t>Marché à bons de commande sans minimum, avec un maximum de 800 000 € HT sur 4 ans, nécessitant une gestion flexible.</w:t>
            </w:r>
          </w:p>
          <w:p>
            <w:pPr>
              <w:spacing w:after="40"/>
              <w:ind w:left="170"/>
            </w:pPr>
            <w:r>
              <w:rPr>
                <w:rFonts w:ascii="Calibri" w:hAnsi="Calibri"/>
                <w:b w:val="0"/>
                <w:i w:val="0"/>
                <w:color w:val="1A3D6E"/>
                <w:sz w:val="18"/>
              </w:rPr>
              <w:t xml:space="preserve">▪  </w:t>
            </w:r>
            <w:r>
              <w:rPr>
                <w:rFonts w:ascii="Calibri" w:hAnsi="Calibri"/>
                <w:b w:val="0"/>
                <w:i w:val="0"/>
                <w:sz w:val="18"/>
              </w:rPr>
              <w:t>La problématique du Retrait-Gonflement des Argiles (RGA) est centrale, offrant une opportunité de différenciation forte.</w:t>
            </w:r>
          </w:p>
          <w:p>
            <w:pPr>
              <w:spacing w:after="40"/>
              <w:ind w:left="170"/>
            </w:pPr>
            <w:r>
              <w:rPr>
                <w:rFonts w:ascii="Calibri" w:hAnsi="Calibri"/>
                <w:b w:val="0"/>
                <w:i w:val="0"/>
                <w:color w:val="1A3D6E"/>
                <w:sz w:val="18"/>
              </w:rPr>
              <w:t xml:space="preserve">▪  </w:t>
            </w:r>
            <w:r>
              <w:rPr>
                <w:rFonts w:ascii="Calibri" w:hAnsi="Calibri"/>
                <w:b w:val="0"/>
                <w:i w:val="0"/>
                <w:sz w:val="18"/>
              </w:rPr>
              <w:t>Interventions quasi-exclusivement en site occupé, exigeant une organisation rigoureuse et une coordination locataires.</w:t>
            </w:r>
          </w:p>
          <w:p>
            <w:pPr>
              <w:spacing w:after="40"/>
              <w:ind w:left="170"/>
            </w:pPr>
            <w:r>
              <w:rPr>
                <w:rFonts w:ascii="Calibri" w:hAnsi="Calibri"/>
                <w:b w:val="0"/>
                <w:i w:val="0"/>
                <w:color w:val="1A3D6E"/>
                <w:sz w:val="18"/>
              </w:rPr>
              <w:t xml:space="preserve">▪  </w:t>
            </w:r>
            <w:r>
              <w:rPr>
                <w:rFonts w:ascii="Calibri" w:hAnsi="Calibri"/>
                <w:b w:val="0"/>
                <w:i w:val="0"/>
                <w:sz w:val="18"/>
              </w:rPr>
              <w:t>Le mémoire technique est le critère le plus pondéré (60%) et est très détaillé, demandant une forte implication.</w:t>
            </w:r>
          </w:p>
          <w:p>
            <w:pPr>
              <w:spacing w:after="40"/>
              <w:ind w:left="170"/>
            </w:pPr>
            <w:r>
              <w:rPr>
                <w:rFonts w:ascii="Calibri" w:hAnsi="Calibri"/>
                <w:b w:val="0"/>
                <w:i w:val="0"/>
                <w:color w:val="1A3D6E"/>
                <w:sz w:val="18"/>
              </w:rPr>
              <w:t xml:space="preserve">▪  </w:t>
            </w:r>
            <w:r>
              <w:rPr>
                <w:rFonts w:ascii="Calibri" w:hAnsi="Calibri"/>
                <w:b w:val="0"/>
                <w:i w:val="0"/>
                <w:sz w:val="18"/>
              </w:rPr>
              <w:t>Délais de réactivité (10%) et pénalités de retard soulignent l'importance de la tenue des engagements.</w:t>
            </w:r>
          </w:p>
        </w:tc>
      </w:tr>
    </w:tbl>
    <w:p>
      <w:pPr>
        <w:spacing w:after="120"/>
      </w:pPr>
    </w:p>
    <w:p>
      <w:pPr>
        <w:spacing w:after="40"/>
      </w:pPr>
      <w:r>
        <w:rPr>
          <w:rFonts w:ascii="Calibri" w:hAnsi="Calibri"/>
          <w:b/>
          <w:i w:val="0"/>
          <w:color w:val="1A3D6E"/>
          <w:sz w:val="20"/>
        </w:rPr>
        <w:t>ARGUMENTAIRE DE LA RECOMMANDATION</w:t>
      </w:r>
    </w:p>
    <w:p>
      <w:pPr>
        <w:spacing w:after="0"/>
        <w:jc w:val="both"/>
      </w:pPr>
      <w:r>
        <w:rPr>
          <w:rFonts w:ascii="Calibri" w:hAnsi="Calibri"/>
          <w:b w:val="0"/>
          <w:i w:val="0"/>
          <w:sz w:val="20"/>
        </w:rPr>
        <w:t>Ce marché est un excellent fit avec le cœur de métier et les atouts de Repair Ingénierie, notamment sur le RGA et l'intervention en site occupé. Le montant maximal est significatif sur 4 ans. La forte pondération de la valeur technique (60%) et la maîtrise des délais sont des points forts. Recommandation : GO</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