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color w:val="1A3D6E"/>
          <w:sz w:val="60"/>
        </w:rPr>
        <w:t>MÉMOIRE TECHNIQUE</w:t>
      </w:r>
    </w:p>
    <w:p>
      <w:pPr>
        <w:jc w:val="center"/>
        <w:pBdr>
          <w:bottom w:val="single" w:sz="8" w:space="1" w:color="1A3D6E"/>
        </w:pBdr>
      </w:pPr>
      <w:r>
        <w:rPr>
          <w:sz w:val="2"/>
        </w:rPr>
        <w:t xml:space="preserve"> </w:t>
      </w:r>
    </w:p>
    <w:p/>
    <w:p>
      <w:pPr>
        <w:jc w:val="center"/>
      </w:pPr>
      <w:r>
        <w:rPr>
          <w:rFonts w:ascii="Times New Roman" w:hAnsi="Times New Roman"/>
          <w:i/>
          <w:color w:val="222222"/>
          <w:sz w:val="30"/>
        </w:rPr>
        <w:t>Mission de diagnostic structurel et de maîtrise d'œuvre de travaux de confortement sur le patrimoine bâti</w:t>
      </w:r>
    </w:p>
    <w:p/>
    <w:p/>
    <w:p/>
    <w:p/>
    <w:p>
      <w:pPr>
        <w:spacing w:after="40"/>
        <w:jc w:val="center"/>
      </w:pPr>
      <w:r>
        <w:rPr>
          <w:rFonts w:ascii="Times New Roman" w:hAnsi="Times New Roman"/>
          <w:i/>
          <w:color w:val="666666"/>
          <w:sz w:val="20"/>
        </w:rPr>
        <w:t>Pouvoir adjudicateur</w:t>
      </w:r>
    </w:p>
    <w:p>
      <w:pPr>
        <w:spacing w:after="360"/>
        <w:jc w:val="center"/>
      </w:pPr>
      <w:r>
        <w:rPr>
          <w:rFonts w:ascii="Times New Roman" w:hAnsi="Times New Roman"/>
          <w:color w:val="222222"/>
          <w:sz w:val="26"/>
        </w:rPr>
        <w:t>OPH des Vallées de l'Isère</w:t>
      </w:r>
    </w:p>
    <w:p>
      <w:pPr>
        <w:spacing w:after="40"/>
        <w:jc w:val="center"/>
      </w:pPr>
      <w:r>
        <w:rPr>
          <w:rFonts w:ascii="Times New Roman" w:hAnsi="Times New Roman"/>
          <w:i/>
          <w:color w:val="666666"/>
          <w:sz w:val="20"/>
        </w:rPr>
        <w:t>Candidat</w:t>
      </w:r>
    </w:p>
    <w:p>
      <w:pPr>
        <w:jc w:val="center"/>
      </w:pPr>
      <w:r>
        <w:rPr>
          <w:rFonts w:ascii="Times New Roman" w:hAnsi="Times New Roman"/>
          <w:b/>
          <w:color w:val="1A3D6E"/>
          <w:sz w:val="28"/>
        </w:rPr>
        <w:t>Repair Ingénierie</w:t>
      </w:r>
    </w:p>
    <w:p/>
    <w:p/>
    <w:p/>
    <w:p>
      <w:pPr>
        <w:jc w:val="center"/>
      </w:pPr>
      <w:r>
        <w:rPr>
          <w:rFonts w:ascii="Times New Roman" w:hAnsi="Times New Roman"/>
          <w:i/>
          <w:color w:val="666666"/>
          <w:sz w:val="20"/>
        </w:rPr>
        <w:t>06 May 2026</w:t>
      </w:r>
    </w:p>
    <w:p>
      <w:r>
        <w:br w:type="page"/>
      </w:r>
    </w:p>
    <w:p>
      <w:pPr>
        <w:spacing w:after="400"/>
      </w:pPr>
      <w:r>
        <w:rPr>
          <w:rFonts w:ascii="Times New Roman" w:hAnsi="Times New Roman"/>
          <w:b/>
          <w:color w:val="1A3D6E"/>
          <w:sz w:val="40"/>
        </w:rPr>
        <w:t>SOMMAIRE</w:t>
      </w:r>
    </w:p>
    <w:p>
      <w:pPr>
        <w:spacing w:after="120"/>
      </w:pPr>
      <w:r>
        <w:rPr>
          <w:rFonts w:ascii="Times New Roman" w:hAnsi="Times New Roman"/>
          <w:b/>
          <w:color w:val="1A3D6E"/>
          <w:sz w:val="22"/>
        </w:rPr>
        <w:t xml:space="preserve">1.  </w:t>
      </w:r>
      <w:r>
        <w:rPr>
          <w:rFonts w:ascii="Times New Roman" w:hAnsi="Times New Roman"/>
          <w:color w:val="222222"/>
          <w:sz w:val="22"/>
        </w:rPr>
        <w:t>Synthèse exécutive</w:t>
      </w:r>
    </w:p>
    <w:p>
      <w:pPr>
        <w:spacing w:after="120"/>
      </w:pPr>
      <w:r>
        <w:rPr>
          <w:rFonts w:ascii="Times New Roman" w:hAnsi="Times New Roman"/>
          <w:b/>
          <w:color w:val="1A3D6E"/>
          <w:sz w:val="22"/>
        </w:rPr>
        <w:t xml:space="preserve">2.  </w:t>
      </w:r>
      <w:r>
        <w:rPr>
          <w:rFonts w:ascii="Times New Roman" w:hAnsi="Times New Roman"/>
          <w:color w:val="222222"/>
          <w:sz w:val="22"/>
        </w:rPr>
        <w:t>Présentation du candidat</w:t>
      </w:r>
    </w:p>
    <w:p>
      <w:pPr>
        <w:spacing w:after="120"/>
      </w:pPr>
      <w:r>
        <w:rPr>
          <w:rFonts w:ascii="Times New Roman" w:hAnsi="Times New Roman"/>
          <w:b/>
          <w:color w:val="1A3D6E"/>
          <w:sz w:val="22"/>
        </w:rPr>
        <w:t xml:space="preserve">3.  </w:t>
      </w:r>
      <w:r>
        <w:rPr>
          <w:rFonts w:ascii="Times New Roman" w:hAnsi="Times New Roman"/>
          <w:color w:val="222222"/>
          <w:sz w:val="22"/>
        </w:rPr>
        <w:t>Compréhension du contexte</w:t>
      </w:r>
    </w:p>
    <w:p>
      <w:pPr>
        <w:spacing w:after="120"/>
      </w:pPr>
      <w:r>
        <w:rPr>
          <w:rFonts w:ascii="Times New Roman" w:hAnsi="Times New Roman"/>
          <w:b/>
          <w:color w:val="1A3D6E"/>
          <w:sz w:val="22"/>
        </w:rPr>
        <w:t xml:space="preserve">4.  </w:t>
      </w:r>
      <w:r>
        <w:rPr>
          <w:rFonts w:ascii="Times New Roman" w:hAnsi="Times New Roman"/>
          <w:color w:val="222222"/>
          <w:sz w:val="22"/>
        </w:rPr>
        <w:t>Méthodologie</w:t>
      </w:r>
      <w:r>
        <w:rPr>
          <w:rFonts w:ascii="Times New Roman" w:hAnsi="Times New Roman"/>
          <w:i/>
          <w:color w:val="666666"/>
          <w:sz w:val="22"/>
        </w:rPr>
        <w:t xml:space="preserve">  —  Démarche de diagnostic structurel</w:t>
      </w:r>
    </w:p>
    <w:p>
      <w:pPr>
        <w:spacing w:after="120"/>
      </w:pPr>
      <w:r>
        <w:rPr>
          <w:rFonts w:ascii="Times New Roman" w:hAnsi="Times New Roman"/>
          <w:b/>
          <w:color w:val="1A3D6E"/>
          <w:sz w:val="22"/>
        </w:rPr>
        <w:t xml:space="preserve">5.  </w:t>
      </w:r>
      <w:r>
        <w:rPr>
          <w:rFonts w:ascii="Times New Roman" w:hAnsi="Times New Roman"/>
          <w:color w:val="222222"/>
          <w:sz w:val="22"/>
        </w:rPr>
        <w:t>Méthodologie</w:t>
      </w:r>
      <w:r>
        <w:rPr>
          <w:rFonts w:ascii="Times New Roman" w:hAnsi="Times New Roman"/>
          <w:i/>
          <w:color w:val="666666"/>
          <w:sz w:val="22"/>
        </w:rPr>
        <w:t xml:space="preserve">  —  Maîtrise d'œuvre de confortement</w:t>
      </w:r>
    </w:p>
    <w:p>
      <w:pPr>
        <w:spacing w:after="120"/>
      </w:pPr>
      <w:r>
        <w:rPr>
          <w:rFonts w:ascii="Times New Roman" w:hAnsi="Times New Roman"/>
          <w:b/>
          <w:color w:val="1A3D6E"/>
          <w:sz w:val="22"/>
        </w:rPr>
        <w:t xml:space="preserve">6.  </w:t>
      </w:r>
      <w:r>
        <w:rPr>
          <w:rFonts w:ascii="Times New Roman" w:hAnsi="Times New Roman"/>
          <w:color w:val="222222"/>
          <w:sz w:val="22"/>
        </w:rPr>
        <w:t>Méthodologie</w:t>
      </w:r>
      <w:r>
        <w:rPr>
          <w:rFonts w:ascii="Times New Roman" w:hAnsi="Times New Roman"/>
          <w:i/>
          <w:color w:val="666666"/>
          <w:sz w:val="22"/>
        </w:rPr>
        <w:t xml:space="preserve">  —  Approche spécifique des sinistres RGA</w:t>
      </w:r>
    </w:p>
    <w:p>
      <w:pPr>
        <w:spacing w:after="120"/>
      </w:pPr>
      <w:r>
        <w:rPr>
          <w:rFonts w:ascii="Times New Roman" w:hAnsi="Times New Roman"/>
          <w:b/>
          <w:color w:val="1A3D6E"/>
          <w:sz w:val="22"/>
        </w:rPr>
        <w:t xml:space="preserve">7.  </w:t>
      </w:r>
      <w:r>
        <w:rPr>
          <w:rFonts w:ascii="Times New Roman" w:hAnsi="Times New Roman"/>
          <w:color w:val="222222"/>
          <w:sz w:val="22"/>
        </w:rPr>
        <w:t>Méthodologie</w:t>
      </w:r>
      <w:r>
        <w:rPr>
          <w:rFonts w:ascii="Times New Roman" w:hAnsi="Times New Roman"/>
          <w:i/>
          <w:color w:val="666666"/>
          <w:sz w:val="22"/>
        </w:rPr>
        <w:t xml:space="preserve">  —  Intervention en site occupé</w:t>
      </w:r>
    </w:p>
    <w:p>
      <w:pPr>
        <w:spacing w:after="120"/>
      </w:pPr>
      <w:r>
        <w:rPr>
          <w:rFonts w:ascii="Times New Roman" w:hAnsi="Times New Roman"/>
          <w:b/>
          <w:color w:val="1A3D6E"/>
          <w:sz w:val="22"/>
        </w:rPr>
        <w:t xml:space="preserve">8.  </w:t>
      </w:r>
      <w:r>
        <w:rPr>
          <w:rFonts w:ascii="Times New Roman" w:hAnsi="Times New Roman"/>
          <w:color w:val="222222"/>
          <w:sz w:val="22"/>
        </w:rPr>
        <w:t>Moyens</w:t>
      </w:r>
      <w:r>
        <w:rPr>
          <w:rFonts w:ascii="Times New Roman" w:hAnsi="Times New Roman"/>
          <w:i/>
          <w:color w:val="666666"/>
          <w:sz w:val="22"/>
        </w:rPr>
        <w:t xml:space="preserve">  —  Moyens humains et organisation</w:t>
      </w:r>
    </w:p>
    <w:p>
      <w:pPr>
        <w:spacing w:after="120"/>
      </w:pPr>
      <w:r>
        <w:rPr>
          <w:rFonts w:ascii="Times New Roman" w:hAnsi="Times New Roman"/>
          <w:b/>
          <w:color w:val="1A3D6E"/>
          <w:sz w:val="22"/>
        </w:rPr>
        <w:t xml:space="preserve">9.  </w:t>
      </w:r>
      <w:r>
        <w:rPr>
          <w:rFonts w:ascii="Times New Roman" w:hAnsi="Times New Roman"/>
          <w:color w:val="222222"/>
          <w:sz w:val="22"/>
        </w:rPr>
        <w:t>Qualifications et références</w:t>
      </w:r>
    </w:p>
    <w:p>
      <w:pPr>
        <w:spacing w:after="120"/>
      </w:pPr>
      <w:r>
        <w:rPr>
          <w:rFonts w:ascii="Times New Roman" w:hAnsi="Times New Roman"/>
          <w:b/>
          <w:color w:val="1A3D6E"/>
          <w:sz w:val="22"/>
        </w:rPr>
        <w:t xml:space="preserve">10.  </w:t>
      </w:r>
      <w:r>
        <w:rPr>
          <w:rFonts w:ascii="Times New Roman" w:hAnsi="Times New Roman"/>
          <w:color w:val="222222"/>
          <w:sz w:val="22"/>
        </w:rPr>
        <w:t>Démarche qualité et livrables</w:t>
      </w:r>
    </w:p>
    <w:p>
      <w:pPr>
        <w:spacing w:after="120"/>
      </w:pPr>
      <w:r>
        <w:rPr>
          <w:rFonts w:ascii="Times New Roman" w:hAnsi="Times New Roman"/>
          <w:b/>
          <w:color w:val="1A3D6E"/>
          <w:sz w:val="22"/>
        </w:rPr>
        <w:t xml:space="preserve">11.  </w:t>
      </w:r>
      <w:r>
        <w:rPr>
          <w:rFonts w:ascii="Times New Roman" w:hAnsi="Times New Roman"/>
          <w:color w:val="222222"/>
          <w:sz w:val="22"/>
        </w:rPr>
        <w:t>Planning et réactivité</w:t>
      </w:r>
    </w:p>
    <w:p>
      <w:pPr>
        <w:spacing w:after="120"/>
      </w:pPr>
      <w:r>
        <w:rPr>
          <w:rFonts w:ascii="Times New Roman" w:hAnsi="Times New Roman"/>
          <w:b/>
          <w:color w:val="1A3D6E"/>
          <w:sz w:val="22"/>
        </w:rPr>
        <w:t xml:space="preserve">12.  </w:t>
      </w:r>
      <w:r>
        <w:rPr>
          <w:rFonts w:ascii="Times New Roman" w:hAnsi="Times New Roman"/>
          <w:color w:val="222222"/>
          <w:sz w:val="22"/>
        </w:rPr>
        <w:t>Approche environnementale et RSE</w:t>
      </w:r>
    </w:p>
    <w:p>
      <w:pPr>
        <w:spacing w:after="120"/>
      </w:pPr>
      <w:r>
        <w:rPr>
          <w:rFonts w:ascii="Times New Roman" w:hAnsi="Times New Roman"/>
          <w:b/>
          <w:color w:val="1A3D6E"/>
          <w:sz w:val="22"/>
        </w:rPr>
        <w:t xml:space="preserve">13.  </w:t>
      </w:r>
      <w:r>
        <w:rPr>
          <w:rFonts w:ascii="Times New Roman" w:hAnsi="Times New Roman"/>
          <w:color w:val="222222"/>
          <w:sz w:val="22"/>
        </w:rPr>
        <w:t>Sécurité et prévention des risques</w:t>
      </w:r>
    </w:p>
    <w:p>
      <w:pPr>
        <w:spacing w:after="120"/>
      </w:pPr>
      <w:r>
        <w:rPr>
          <w:rFonts w:ascii="Times New Roman" w:hAnsi="Times New Roman"/>
          <w:b/>
          <w:color w:val="1A3D6E"/>
          <w:sz w:val="22"/>
        </w:rPr>
        <w:t xml:space="preserve">14.  </w:t>
      </w:r>
      <w:r>
        <w:rPr>
          <w:rFonts w:ascii="Times New Roman" w:hAnsi="Times New Roman"/>
          <w:color w:val="222222"/>
          <w:sz w:val="22"/>
        </w:rPr>
        <w:t>Continuité de service sur la durée du marché</w:t>
      </w:r>
    </w:p>
    <w:p>
      <w:pPr>
        <w:spacing w:after="120"/>
      </w:pPr>
      <w:r>
        <w:rPr>
          <w:rFonts w:ascii="Times New Roman" w:hAnsi="Times New Roman"/>
          <w:b/>
          <w:color w:val="1A3D6E"/>
          <w:sz w:val="22"/>
        </w:rPr>
        <w:t xml:space="preserve">15.  </w:t>
      </w:r>
      <w:r>
        <w:rPr>
          <w:rFonts w:ascii="Times New Roman" w:hAnsi="Times New Roman"/>
          <w:color w:val="222222"/>
          <w:sz w:val="22"/>
        </w:rPr>
        <w:t>Connaissance du territoire et des acteurs locaux</w:t>
      </w:r>
    </w:p>
    <w:p>
      <w:pPr>
        <w:spacing w:after="120"/>
      </w:pPr>
      <w:r>
        <w:rPr>
          <w:rFonts w:ascii="Times New Roman" w:hAnsi="Times New Roman"/>
          <w:b/>
          <w:color w:val="1A3D6E"/>
          <w:sz w:val="22"/>
        </w:rPr>
        <w:t xml:space="preserve">16.  </w:t>
      </w:r>
      <w:r>
        <w:rPr>
          <w:rFonts w:ascii="Times New Roman" w:hAnsi="Times New Roman"/>
          <w:color w:val="222222"/>
          <w:sz w:val="22"/>
        </w:rPr>
        <w:t>Moyens</w:t>
      </w:r>
      <w:r>
        <w:rPr>
          <w:rFonts w:ascii="Times New Roman" w:hAnsi="Times New Roman"/>
          <w:i/>
          <w:color w:val="666666"/>
          <w:sz w:val="22"/>
        </w:rPr>
        <w:t xml:space="preserve">  —  Moyens matériels et techniques</w:t>
      </w:r>
    </w:p>
    <w:p>
      <w:pPr>
        <w:spacing w:after="120"/>
      </w:pPr>
      <w:r>
        <w:rPr>
          <w:rFonts w:ascii="Times New Roman" w:hAnsi="Times New Roman"/>
          <w:b/>
          <w:color w:val="1A3D6E"/>
          <w:sz w:val="22"/>
        </w:rPr>
        <w:t xml:space="preserve">17.  </w:t>
      </w:r>
      <w:r>
        <w:rPr>
          <w:rFonts w:ascii="Times New Roman" w:hAnsi="Times New Roman"/>
          <w:color w:val="222222"/>
          <w:sz w:val="22"/>
        </w:rPr>
        <w:t>Gestion des risques projet</w:t>
      </w:r>
    </w:p>
    <w:p>
      <w:r>
        <w:br w:type="page"/>
      </w:r>
    </w:p>
    <w:p>
      <w:pPr>
        <w:spacing w:before="0" w:after="40"/>
      </w:pPr>
      <w:r>
        <w:rPr>
          <w:rFonts w:ascii="Times New Roman" w:hAnsi="Times New Roman"/>
          <w:b/>
          <w:color w:val="1A3D6E"/>
          <w:sz w:val="56"/>
        </w:rPr>
        <w:t>1.</w:t>
      </w:r>
      <w:r>
        <w:rPr>
          <w:rFonts w:ascii="Times New Roman" w:hAnsi="Times New Roman"/>
          <w:b/>
          <w:color w:val="1A3D6E"/>
          <w:sz w:val="40"/>
        </w:rPr>
        <w:t xml:space="preserve">  Synthèse exécutive</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xml:space="preserve">La présente offre de </w:t>
      </w:r>
      <w:r>
        <w:rPr>
          <w:rFonts w:ascii="Times New Roman" w:hAnsi="Times New Roman"/>
          <w:b/>
          <w:sz w:val="22"/>
        </w:rPr>
        <w:t>Repair Ingénierie</w:t>
      </w:r>
      <w:r>
        <w:rPr>
          <w:rFonts w:ascii="Times New Roman" w:hAnsi="Times New Roman"/>
          <w:sz w:val="22"/>
        </w:rPr>
        <w:t xml:space="preserve"> répond à la consultation lancée par </w:t>
      </w:r>
      <w:r>
        <w:rPr>
          <w:rFonts w:ascii="Times New Roman" w:hAnsi="Times New Roman"/>
          <w:b/>
          <w:sz w:val="22"/>
        </w:rPr>
        <w:t>OPH des Vallées de l'Isère</w:t>
      </w:r>
      <w:r>
        <w:rPr>
          <w:rFonts w:ascii="Times New Roman" w:hAnsi="Times New Roman"/>
          <w:sz w:val="22"/>
        </w:rPr>
        <w:t xml:space="preserve"> pour une mission de diagnostic structurel et de maîtrise d'œuvre de travaux de confortement sur un patrimoine à dominante </w:t>
      </w:r>
      <w:r>
        <w:rPr>
          <w:rFonts w:ascii="Times New Roman" w:hAnsi="Times New Roman"/>
          <w:b/>
          <w:sz w:val="22"/>
        </w:rPr>
        <w:t>mixte (béton armé, maçonnerie, bois, métal)</w:t>
      </w:r>
      <w:r>
        <w:rPr>
          <w:rFonts w:ascii="Times New Roman" w:hAnsi="Times New Roman"/>
          <w:sz w:val="22"/>
        </w:rPr>
        <w:t xml:space="preserve">, </w:t>
      </w:r>
      <w:r>
        <w:rPr>
          <w:rFonts w:ascii="Times New Roman" w:hAnsi="Times New Roman"/>
          <w:b/>
          <w:sz w:val="22"/>
        </w:rPr>
        <w:t>un accord-cadre à bons de commande d'une durée maximale de 4 ans et d'un montant maximal de 800 000 € HT</w:t>
      </w:r>
      <w:r>
        <w:rPr>
          <w:rFonts w:ascii="Times New Roman" w:hAnsi="Times New Roman"/>
          <w:sz w:val="22"/>
        </w:rPr>
        <w:t>.Cinq différenciateurs structurent notre proposition :</w:t>
      </w:r>
      <w:r>
        <w:rPr>
          <w:rFonts w:ascii="Times New Roman" w:hAnsi="Times New Roman"/>
          <w:b/>
          <w:sz w:val="22"/>
        </w:rPr>
        <w:t>1. Cœur de métier aligné sur l'objet du marché.</w:t>
      </w:r>
      <w:r>
        <w:rPr>
          <w:rFonts w:ascii="Times New Roman" w:hAnsi="Times New Roman"/>
          <w:sz w:val="22"/>
        </w:rPr>
        <w:t xml:space="preserve"> Nous ne sommes pas un BET généraliste qui aborderait la pathologie comme un sujet annexe : la pathologie, le diagnostic et la conception de confortement sont notre pratique quotidienne. Cette spécialisation se traduit par une lecture immédiate des désordres rencontrés sur votre patrimoine et par un calibrage des programmes d'investigation économe en moyens.</w:t>
      </w:r>
      <w:r>
        <w:rPr>
          <w:rFonts w:ascii="Times New Roman" w:hAnsi="Times New Roman"/>
          <w:b/>
          <w:sz w:val="22"/>
        </w:rPr>
        <w:t>2. Maîtrise de la chaîne complète diagnostic → maîtrise d'œuvre → exécution.</w:t>
      </w:r>
      <w:r>
        <w:rPr>
          <w:rFonts w:ascii="Times New Roman" w:hAnsi="Times New Roman"/>
          <w:sz w:val="22"/>
        </w:rPr>
        <w:t xml:space="preserve"> Notre filiale travaux intervient sur les opérations de confortement que nous concevons. Cette articulation garantit la fiabilité de nos chiffrages (testés au réel sur nos chantiers), l'absence de surprise en phase travaux et une capacité de réaction rapide en cas de besoin de variante en cours d'exécution.</w:t>
      </w:r>
      <w:r>
        <w:rPr>
          <w:rFonts w:ascii="Times New Roman" w:hAnsi="Times New Roman"/>
          <w:b/>
          <w:sz w:val="22"/>
        </w:rPr>
        <w:t>3. Engagements de réactivité sourcés sur notre pratique des sinistres.</w:t>
      </w:r>
      <w:r>
        <w:rPr>
          <w:rFonts w:ascii="Times New Roman" w:hAnsi="Times New Roman"/>
          <w:sz w:val="22"/>
        </w:rPr>
        <w:t xml:space="preserve"> Notre activité historique de réponse aux sinistres assurance nous a habitués à des délais courts. Nous engageons contractuellement sur les délais que nous tenons effectivement — y compris l'intervention sous 24 heures en cas de péril imminent suspecté.</w:t>
      </w:r>
      <w:r>
        <w:rPr>
          <w:rFonts w:ascii="Times New Roman" w:hAnsi="Times New Roman"/>
          <w:b/>
          <w:sz w:val="22"/>
        </w:rPr>
        <w:t>4. Méthodologie en site occupé éprouvée.</w:t>
      </w:r>
      <w:r>
        <w:rPr>
          <w:rFonts w:ascii="Times New Roman" w:hAnsi="Times New Roman"/>
          <w:sz w:val="22"/>
        </w:rPr>
        <w:t xml:space="preserve"> La quasi-totalité de nos interventions se déroule sur des bâtiments habités. Notre protocole de coordination locataires (préavis 15 jours, protection systématique, rebouchage soigné, prise en charge des dommages éventuels) est appliqué sur l'ensemble de nos opérations et constitue un point de différenciation auprès des bailleurs et collectivités gestionnaires de patrimoine.</w:t>
      </w:r>
      <w:r>
        <w:rPr>
          <w:rFonts w:ascii="Times New Roman" w:hAnsi="Times New Roman"/>
          <w:b/>
          <w:sz w:val="22"/>
        </w:rPr>
        <w:t>5. Synthèse exécutive systématique sur tous nos livrables.</w:t>
      </w:r>
      <w:r>
        <w:rPr>
          <w:rFonts w:ascii="Times New Roman" w:hAnsi="Times New Roman"/>
          <w:sz w:val="22"/>
        </w:rPr>
        <w:t xml:space="preserve"> Chaque rapport de diagnostic et chaque AVP que nous remettons commence par une synthèse de 3 à 5 pages destinée à votre direction, séparée du dossier technique détaillé. Vous prenez vos arbitrages sur la synthèse, vos référents techniques s'appuient sur le dossier — chacun trouve l'information utile au niveau de détail dont il a besoin.Le présent mémoire technique détaille ces engagements sur l'ensemble des sections qui suivent : compréhension du contexte, méthodologie de diagnostic et de maîtrise d'œuvre, approche spécifique RGA, intervention en site occupé, moyens humains et matériels, démarche qualité, planning et engagements de réactivité, sécurité, références récentes et engagements de continuité de service.</w:t>
      </w:r>
    </w:p>
    <w:p>
      <w:r>
        <w:br w:type="page"/>
      </w:r>
    </w:p>
    <w:p>
      <w:pPr>
        <w:spacing w:before="0" w:after="40"/>
      </w:pPr>
      <w:r>
        <w:rPr>
          <w:rFonts w:ascii="Times New Roman" w:hAnsi="Times New Roman"/>
          <w:b/>
          <w:color w:val="1A3D6E"/>
          <w:sz w:val="56"/>
        </w:rPr>
        <w:t>2.</w:t>
      </w:r>
      <w:r>
        <w:rPr>
          <w:rFonts w:ascii="Times New Roman" w:hAnsi="Times New Roman"/>
          <w:b/>
          <w:color w:val="1A3D6E"/>
          <w:sz w:val="40"/>
        </w:rPr>
        <w:t xml:space="preserve">  Présentation du candidat</w:t>
      </w:r>
    </w:p>
    <w:p>
      <w:pPr>
        <w:jc w:val="center"/>
        <w:pBdr>
          <w:bottom w:val="single" w:sz="8" w:space="1" w:color="1A3D6E"/>
        </w:pBdr>
      </w:pPr>
      <w:r>
        <w:rPr>
          <w:sz w:val="2"/>
        </w:rPr>
        <w:t xml:space="preserve"> </w:t>
      </w:r>
    </w:p>
    <w:p/>
    <w:p>
      <w:pPr>
        <w:spacing w:after="160"/>
        <w:ind w:firstLine="0"/>
        <w:jc w:val="both"/>
      </w:pPr>
      <w:r>
        <w:rPr>
          <w:rFonts w:ascii="Times New Roman" w:hAnsi="Times New Roman"/>
          <w:b/>
          <w:sz w:val="22"/>
        </w:rPr>
        <w:t>Repair Ingénierie</w:t>
      </w:r>
      <w:r>
        <w:rPr>
          <w:rFonts w:ascii="Times New Roman" w:hAnsi="Times New Roman"/>
          <w:sz w:val="22"/>
        </w:rPr>
        <w:t xml:space="preserve"> est un bureau d'études structures </w:t>
      </w:r>
      <w:r>
        <w:rPr>
          <w:rFonts w:ascii="Times New Roman" w:hAnsi="Times New Roman"/>
          <w:b/>
          <w:sz w:val="22"/>
        </w:rPr>
        <w:t>spécialisé en pathologie, expertise structurelle et confortement d'ouvrages existants</w:t>
      </w:r>
      <w:r>
        <w:rPr>
          <w:rFonts w:ascii="Times New Roman" w:hAnsi="Times New Roman"/>
          <w:sz w:val="22"/>
        </w:rPr>
        <w:t xml:space="preserve">. Notre cœur de métier est l'analyse, le diagnostic structurel et la conception d'interventions sur ouvrages existants présentant des désordres ou nécessitant un renforcement. À la différence d'un bureau d'études généraliste de structure neuve, nous avons construit notre expertise sur la pratique quotidienne des pathologies du bâti — ce qui nous permet d'apporter aux maîtres d'ouvrage publics une lecture métier directement opérationnelle, sans courbe d'apprentissage sur leur problématique.Notre intervention couvre l'ensemble du spectre béton armé / métal / bois / maçonnerie ancienne, sur des typologies allant du logement collectif au pavillon individuel, en passant par le tertiaire et l'industriel. Nous sommes particulièrement engagés sur la pathologie des sinistres liés au retrait-gonflement des argiles (RGA) — sujet qui mobilise une part significative de notre activité — ainsi que sur la corrosion d'armatures sur le patrimoine béton 1955-1985, les désordres de planchers à corps creux, et les pathologies de maçonnerie ancienne.Notre approche combine deux atouts différenciants pour la mission objet de la présente consultation :- Une </w:t>
      </w:r>
      <w:r>
        <w:rPr>
          <w:rFonts w:ascii="Times New Roman" w:hAnsi="Times New Roman"/>
          <w:b/>
          <w:sz w:val="22"/>
        </w:rPr>
        <w:t>maîtrise complète de la chaîne diagnostic → maîtrise d'œuvre → exécution</w:t>
      </w:r>
      <w:r>
        <w:rPr>
          <w:rFonts w:ascii="Times New Roman" w:hAnsi="Times New Roman"/>
          <w:sz w:val="22"/>
        </w:rPr>
        <w:t xml:space="preserve"> grâce à notre filiale de travaux </w:t>
      </w:r>
      <w:r>
        <w:rPr>
          <w:rFonts w:ascii="Times New Roman" w:hAnsi="Times New Roman"/>
          <w:b/>
          <w:sz w:val="22"/>
        </w:rPr>
        <w:t>Syma Consolidation</w:t>
      </w:r>
      <w:r>
        <w:rPr>
          <w:rFonts w:ascii="Times New Roman" w:hAnsi="Times New Roman"/>
          <w:sz w:val="22"/>
        </w:rPr>
        <w:t xml:space="preserve">, qui garantit la cohérence technique et la fiabilité du chiffrage entre l'étude et la réalisation effective des confortements.- Une </w:t>
      </w:r>
      <w:r>
        <w:rPr>
          <w:rFonts w:ascii="Times New Roman" w:hAnsi="Times New Roman"/>
          <w:b/>
          <w:sz w:val="22"/>
        </w:rPr>
        <w:t>culture de la réactivité</w:t>
      </w:r>
      <w:r>
        <w:rPr>
          <w:rFonts w:ascii="Times New Roman" w:hAnsi="Times New Roman"/>
          <w:sz w:val="22"/>
        </w:rPr>
        <w:t xml:space="preserve"> héritée de notre pratique des sinistres assurance : nos rapports sont calibrés pour être directement exploitables par un commanditaire devant prendre une décision rapide, et nous savons mobiliser une équipe sur site dans des délais courts lorsque l'urgence le commande.Cette présentation détaille dans la suite notre méthodologie, nos moyens et nos références sur des opérations comparables.</w:t>
      </w:r>
    </w:p>
    <w:p>
      <w:r>
        <w:br w:type="page"/>
      </w:r>
    </w:p>
    <w:p>
      <w:pPr>
        <w:spacing w:before="0" w:after="40"/>
      </w:pPr>
      <w:r>
        <w:rPr>
          <w:rFonts w:ascii="Times New Roman" w:hAnsi="Times New Roman"/>
          <w:b/>
          <w:color w:val="1A3D6E"/>
          <w:sz w:val="56"/>
        </w:rPr>
        <w:t>3.</w:t>
      </w:r>
      <w:r>
        <w:rPr>
          <w:rFonts w:ascii="Times New Roman" w:hAnsi="Times New Roman"/>
          <w:b/>
          <w:color w:val="1A3D6E"/>
          <w:sz w:val="40"/>
        </w:rPr>
        <w:t xml:space="preserve">  Compréhension du contexte</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xml:space="preserve">Nous avons étudié avec attention l'ensemble des pièces du dossier de consultation et identifié les enjeux structurants suivants pour la mission proposée par </w:t>
      </w:r>
      <w:r>
        <w:rPr>
          <w:rFonts w:ascii="Times New Roman" w:hAnsi="Times New Roman"/>
          <w:b/>
          <w:sz w:val="22"/>
        </w:rPr>
        <w:t>OPH des Vallées de l'Isère</w:t>
      </w:r>
      <w:r>
        <w:rPr>
          <w:rFonts w:ascii="Times New Roman" w:hAnsi="Times New Roman"/>
          <w:sz w:val="22"/>
        </w:rPr>
        <w:t>.</w:t>
      </w:r>
      <w:r>
        <w:rPr>
          <w:rFonts w:ascii="Times New Roman" w:hAnsi="Times New Roman"/>
          <w:b/>
          <w:sz w:val="22"/>
        </w:rPr>
        <w:t>Un patrimoine présentant des typologies structurelles variées.</w:t>
      </w:r>
      <w:r>
        <w:rPr>
          <w:rFonts w:ascii="Times New Roman" w:hAnsi="Times New Roman"/>
          <w:sz w:val="22"/>
        </w:rPr>
        <w:t xml:space="preserve"> Le patrimoine de l'OPH des Vallées de l'Isère est constitué de logements collectifs et de pavillons, construits sur différentes périodes, allant des années 1950 aux constructions plus récentes. Cette diversité appelle une équipe capable d'intervenir indifféremment sur béton armé moderne, sur maçonnerie ancienne et sur structures à corps creux ou préfabriquées, avec une culture des règles de calcul historiques (BAEL, BA68, CB71) en complément des Eurocodes — savoir-faire qui ne se substitue pas au calcul actuel mais qui éclaire l'analyse rétroactive d'un ouvrage existant.</w:t>
      </w:r>
      <w:r>
        <w:rPr>
          <w:rFonts w:ascii="Times New Roman" w:hAnsi="Times New Roman"/>
          <w:b/>
          <w:sz w:val="22"/>
        </w:rPr>
        <w:t>Des pathologies récurrentes identifiées.</w:t>
      </w:r>
      <w:r>
        <w:rPr>
          <w:rFonts w:ascii="Times New Roman" w:hAnsi="Times New Roman"/>
          <w:sz w:val="22"/>
        </w:rPr>
        <w:t xml:space="preserve"> Les désordres liés au retrait-gonflement des argiles (RGA) sont une problématique centrale, complétés par des pathologies courantes telles que la corrosion d'armatures, les désordres de planchers à corps creux et les pathologies de maçonnerie ancienne. Nous abordons ces problématiques avec une démarche éprouvée : reconnaissance préalable orientée par l'historique du désordre, programme d'investigations calibré sur l'origine présumée, analyse structurelle argumentée et préconisations chiffrées hiérarchisées entre interventions urgentes et travaux à programmer.</w:t>
      </w:r>
      <w:r>
        <w:rPr>
          <w:rFonts w:ascii="Times New Roman" w:hAnsi="Times New Roman"/>
          <w:b/>
          <w:sz w:val="22"/>
        </w:rPr>
        <w:t>Des spécificités propres à la consultation.</w:t>
      </w:r>
      <w:r>
        <w:rPr>
          <w:rFonts w:ascii="Times New Roman" w:hAnsi="Times New Roman"/>
          <w:sz w:val="22"/>
        </w:rPr>
        <w:t xml:space="preserve"> Le marché est un accord-cadre à bons de commande sans minimum mais avec un maximum de 800 000 € HT sur 4 ans, exigeant une forte réactivité et une gestion flexible. Les interventions se déroulent quasi-exclusivement en site occupé, et le mémoire technique est le critère le plus pondéré (60%). Nous avons intégré ces points dans la construction de notre offre — notamment sur la mobilisation de l'équipe, l'organisation des interventions et le calibrage des engagements de réactivité.Notre mémoire technique précise dans la suite notre méthodologie de diagnostic, notre approche de la maîtrise d'œuvre de confortement, nos engagements sur les particularités de site occupé et sur la pathologie RGA, ainsi que les moyens humains et matériels que nous mobiliserons effectivement sur ce marché.</w:t>
      </w:r>
    </w:p>
    <w:p>
      <w:r>
        <w:br w:type="page"/>
      </w:r>
    </w:p>
    <w:p>
      <w:pPr>
        <w:spacing w:before="0" w:after="40"/>
      </w:pPr>
      <w:r>
        <w:rPr>
          <w:rFonts w:ascii="Times New Roman" w:hAnsi="Times New Roman"/>
          <w:b/>
          <w:color w:val="1A3D6E"/>
          <w:sz w:val="56"/>
        </w:rPr>
        <w:t>4.</w:t>
      </w:r>
      <w:r>
        <w:rPr>
          <w:rFonts w:ascii="Times New Roman" w:hAnsi="Times New Roman"/>
          <w:b/>
          <w:color w:val="1A3D6E"/>
          <w:sz w:val="40"/>
        </w:rPr>
        <w:t xml:space="preserve">  Méthodologie</w:t>
      </w:r>
    </w:p>
    <w:p>
      <w:pPr>
        <w:spacing w:after="120"/>
      </w:pPr>
      <w:r>
        <w:rPr>
          <w:rFonts w:ascii="Times New Roman" w:hAnsi="Times New Roman"/>
          <w:i/>
          <w:color w:val="666666"/>
          <w:sz w:val="26"/>
        </w:rPr>
        <w:t>Démarche de diagnostic structurel</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xml:space="preserve">Notre intervention sur </w:t>
      </w:r>
      <w:r>
        <w:rPr>
          <w:rFonts w:ascii="Times New Roman" w:hAnsi="Times New Roman"/>
          <w:b/>
          <w:sz w:val="22"/>
        </w:rPr>
        <w:t>le patrimoine bâti de l'OPH des Vallées de l'Isère</w:t>
      </w:r>
      <w:r>
        <w:rPr>
          <w:rFonts w:ascii="Times New Roman" w:hAnsi="Times New Roman"/>
          <w:sz w:val="22"/>
        </w:rPr>
        <w:t xml:space="preserve"> s'organise en trois temps complémentaires, conçus pour fiabiliser le diagnostic tout en maîtrisant l'emprise des investigations sur le bâtiment et ses occupants.</w:t>
      </w:r>
      <w:r>
        <w:rPr>
          <w:rFonts w:ascii="Times New Roman" w:hAnsi="Times New Roman"/>
          <w:b/>
          <w:sz w:val="22"/>
        </w:rPr>
        <w:t>Phase 1 — Reconnaissance préalable et analyse documentaire.</w:t>
      </w:r>
      <w:r>
        <w:rPr>
          <w:rFonts w:ascii="Times New Roman" w:hAnsi="Times New Roman"/>
          <w:sz w:val="22"/>
        </w:rPr>
        <w:t xml:space="preserve"> Nous procédons à la collecte exhaustive des pièces existantes (plans d'origine, plans de récolement, notes de calcul, rapports antérieurs, archives de pathologie) et à une visite contradictoire de l'ouvrage. À l'issue de cette phase, un relevé visuel hiérarchisé des désordres est établi (cartographie des fissures, déformations, infiltrations, dégradations matérielles), assorti d'une première hypothèse structurelle. Cette étape conditionne le ciblage des investigations destructives qui suivent : elle évite les sondages superflus et oriente les moyens là où ils apportent une réelle valeur diagnostique.</w:t>
      </w:r>
      <w:r>
        <w:rPr>
          <w:rFonts w:ascii="Times New Roman" w:hAnsi="Times New Roman"/>
          <w:b/>
          <w:sz w:val="22"/>
        </w:rPr>
        <w:t>Phase 2 — Investigations in situ.</w:t>
      </w:r>
      <w:r>
        <w:rPr>
          <w:rFonts w:ascii="Times New Roman" w:hAnsi="Times New Roman"/>
          <w:sz w:val="22"/>
        </w:rPr>
        <w:t xml:space="preserve"> Le programme d'investigations est calibré sur les désordres relevés (</w:t>
      </w:r>
      <w:r>
        <w:rPr>
          <w:rFonts w:ascii="Times New Roman" w:hAnsi="Times New Roman"/>
          <w:b/>
          <w:sz w:val="22"/>
        </w:rPr>
        <w:t>fissures, déformations, dégradations matérielles, et spécifiquement les désordres liés au retrait-gonflement des argiles</w:t>
      </w:r>
      <w:r>
        <w:rPr>
          <w:rFonts w:ascii="Times New Roman" w:hAnsi="Times New Roman"/>
          <w:sz w:val="22"/>
        </w:rPr>
        <w:t>) et le matériau dominant (</w:t>
      </w:r>
      <w:r>
        <w:rPr>
          <w:rFonts w:ascii="Times New Roman" w:hAnsi="Times New Roman"/>
          <w:b/>
          <w:sz w:val="22"/>
        </w:rPr>
        <w:t>béton armé, maçonnerie, bois et métal</w:t>
      </w:r>
      <w:r>
        <w:rPr>
          <w:rFonts w:ascii="Times New Roman" w:hAnsi="Times New Roman"/>
          <w:sz w:val="22"/>
        </w:rPr>
        <w:t xml:space="preserve">). Sur ouvrages en béton armé, nous mobilisons selon les besoins : repérage des armatures par pacométrie, mesures de résistance par scléromètre et carottages, contrôle de la profondeur de carbonatation, sondages destructifs ponctuels au niveau des nœuds critiques, et investigations géotechniques complémentaires en cas de présomption d'origine sol (notamment sur sinistres RGA). Sur ouvrages anciens en maçonnerie, l'auscultation par endoscopie des chaînages et des appuis vient compléter le relevé. Lorsque la cinétique des désordres l'exige, un </w:t>
      </w:r>
      <w:r>
        <w:rPr>
          <w:rFonts w:ascii="Times New Roman" w:hAnsi="Times New Roman"/>
          <w:b/>
          <w:sz w:val="22"/>
        </w:rPr>
        <w:t>dispositif d'instrumentation</w:t>
      </w:r>
      <w:r>
        <w:rPr>
          <w:rFonts w:ascii="Times New Roman" w:hAnsi="Times New Roman"/>
          <w:sz w:val="22"/>
        </w:rPr>
        <w:t xml:space="preserve"> (fissuromètres, jauges de contrainte, suivi topographique) est mis en place pour quantifier l'évolution dans le temps.</w:t>
      </w:r>
      <w:r>
        <w:rPr>
          <w:rFonts w:ascii="Times New Roman" w:hAnsi="Times New Roman"/>
          <w:b/>
          <w:sz w:val="22"/>
        </w:rPr>
        <w:t>Phase 3 — Analyse structurelle et préconisations.</w:t>
      </w:r>
      <w:r>
        <w:rPr>
          <w:rFonts w:ascii="Times New Roman" w:hAnsi="Times New Roman"/>
          <w:sz w:val="22"/>
        </w:rPr>
        <w:t xml:space="preserve"> Les données recueillies alimentent une </w:t>
      </w:r>
      <w:r>
        <w:rPr>
          <w:rFonts w:ascii="Times New Roman" w:hAnsi="Times New Roman"/>
          <w:b/>
          <w:sz w:val="22"/>
        </w:rPr>
        <w:t>modélisation aux éléments finis</w:t>
      </w:r>
      <w:r>
        <w:rPr>
          <w:rFonts w:ascii="Times New Roman" w:hAnsi="Times New Roman"/>
          <w:sz w:val="22"/>
        </w:rPr>
        <w:t xml:space="preserve"> lorsque la complexité de l'ouvrage le justifie, ou des vérifications par calcul classique sur les sections critiques (Eurocodes 0/1/2/3/5 et DTU pertinents). L'analyse débouche sur un diagnostic argumenté de l'origine des désordres, une appréciation de la sécurité structurale résiduelle, et un programme hiérarchisé de préconisations chiffrées au stade AVP, distinguant les interventions immédiates des travaux de confortement à programmer.</w:t>
      </w:r>
      <w:r>
        <w:rPr>
          <w:rFonts w:ascii="Times New Roman" w:hAnsi="Times New Roman"/>
          <w:b/>
          <w:sz w:val="22"/>
        </w:rPr>
        <w:t>Livrables.</w:t>
      </w:r>
      <w:r>
        <w:rPr>
          <w:rFonts w:ascii="Times New Roman" w:hAnsi="Times New Roman"/>
          <w:sz w:val="22"/>
        </w:rPr>
        <w:t xml:space="preserve"> Rapport de diagnostic structuré (synthèse exécutive + dossier technique + annexes), réunion de restitution avec le maître d'ouvrage, et tous les éléments nécessaires à la consultation des entreprises de travaux.</w:t>
      </w:r>
    </w:p>
    <w:p>
      <w:r>
        <w:br w:type="page"/>
      </w:r>
    </w:p>
    <w:p>
      <w:pPr>
        <w:spacing w:before="0" w:after="40"/>
      </w:pPr>
      <w:r>
        <w:rPr>
          <w:rFonts w:ascii="Times New Roman" w:hAnsi="Times New Roman"/>
          <w:b/>
          <w:color w:val="1A3D6E"/>
          <w:sz w:val="56"/>
        </w:rPr>
        <w:t>5.</w:t>
      </w:r>
      <w:r>
        <w:rPr>
          <w:rFonts w:ascii="Times New Roman" w:hAnsi="Times New Roman"/>
          <w:b/>
          <w:color w:val="1A3D6E"/>
          <w:sz w:val="40"/>
        </w:rPr>
        <w:t xml:space="preserve">  Méthodologie</w:t>
      </w:r>
    </w:p>
    <w:p>
      <w:pPr>
        <w:spacing w:after="120"/>
      </w:pPr>
      <w:r>
        <w:rPr>
          <w:rFonts w:ascii="Times New Roman" w:hAnsi="Times New Roman"/>
          <w:i/>
          <w:color w:val="666666"/>
          <w:sz w:val="26"/>
        </w:rPr>
        <w:t>Maîtrise d'œuvre de confortement</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xml:space="preserve">Notre démarche s'inscrit dans le cadre des éléments de mission de la </w:t>
      </w:r>
      <w:r>
        <w:rPr>
          <w:rFonts w:ascii="Times New Roman" w:hAnsi="Times New Roman"/>
          <w:b/>
          <w:sz w:val="22"/>
        </w:rPr>
        <w:t>loi MOP</w:t>
      </w:r>
      <w:r>
        <w:rPr>
          <w:rFonts w:ascii="Times New Roman" w:hAnsi="Times New Roman"/>
          <w:sz w:val="22"/>
        </w:rPr>
        <w:t xml:space="preserve"> et du </w:t>
      </w:r>
      <w:r>
        <w:rPr>
          <w:rFonts w:ascii="Times New Roman" w:hAnsi="Times New Roman"/>
          <w:b/>
          <w:sz w:val="22"/>
        </w:rPr>
        <w:t>CCAG-PI</w:t>
      </w:r>
      <w:r>
        <w:rPr>
          <w:rFonts w:ascii="Times New Roman" w:hAnsi="Times New Roman"/>
          <w:sz w:val="22"/>
        </w:rPr>
        <w:t>. Sur les opérations de confortement et de reprise en sous-œuvre que nous avons menées, nous avons consolidé une démarche en cinq principes que nous appliquons systématiquement.</w:t>
      </w:r>
      <w:r>
        <w:rPr>
          <w:rFonts w:ascii="Times New Roman" w:hAnsi="Times New Roman"/>
          <w:b/>
          <w:sz w:val="22"/>
        </w:rPr>
        <w:t>Comparaison de scénarios au stade AVP.</w:t>
      </w:r>
      <w:r>
        <w:rPr>
          <w:rFonts w:ascii="Times New Roman" w:hAnsi="Times New Roman"/>
          <w:sz w:val="22"/>
        </w:rPr>
        <w:t xml:space="preserve"> Nous étudions au minimum deux solutions de confortement et les comparons sur quatre critères : efficacité technique au regard du désordre, coût travaux estimatif, contraintes d'intervention en site occupé, réversibilité et facilité d'inspection ultérieure. Cette comparaison est explicite, chiffrée et tracée dans le rapport AVP — le maître d'ouvrage dispose des éléments pour valider en connaissance de cause.</w:t>
      </w:r>
      <w:r>
        <w:rPr>
          <w:rFonts w:ascii="Times New Roman" w:hAnsi="Times New Roman"/>
          <w:b/>
          <w:sz w:val="22"/>
        </w:rPr>
        <w:t>Optimisation économique systématique.</w:t>
      </w:r>
      <w:r>
        <w:rPr>
          <w:rFonts w:ascii="Times New Roman" w:hAnsi="Times New Roman"/>
          <w:sz w:val="22"/>
        </w:rPr>
        <w:t xml:space="preserve"> Sur ouvrage existant, la solution la plus invasive ou la plus surdimensionnée n'est jamais la solution par défaut. Nous évaluons d'abord les solutions périphériques (drainage, traitement des végétaux, dispositifs anti-évaporation pour le RGA ; chemisage local par bandes carbone pour les fléchissements ; injection de coulis pour les fondations modérément sollicitées) avant d'envisager les solutions lourdes (reprise en sous-œuvre par micropieux, redimensionnement par poutres d'incorporation). Le réflexe économique est documenté dans la note AVP.</w:t>
      </w:r>
      <w:r>
        <w:rPr>
          <w:rFonts w:ascii="Times New Roman" w:hAnsi="Times New Roman"/>
          <w:b/>
          <w:sz w:val="22"/>
        </w:rPr>
        <w:t>Prise en compte des contraintes d'intervention en site occupé.</w:t>
      </w:r>
      <w:r>
        <w:rPr>
          <w:rFonts w:ascii="Times New Roman" w:hAnsi="Times New Roman"/>
          <w:sz w:val="22"/>
        </w:rPr>
        <w:t xml:space="preserve"> Les ouvrages que nous traitons sont quasi systématiquement habités. Nous concevons les solutions et les phasages avec cette contrainte en tête : limitation de l'emprise journalière, accès et stockages chantier dimensionnés pour ne pas obérer la vie résidentielle, coupures d'usage limitées dans le temps, déclinaison de l'organisation chantier en réunions de quartier ou affichage par cage d'escalier. Nous travaillons en coordination étroite avec le gardien d'immeuble ou l'agent de proximité du maître d'ouvrage, identifié dès la phase PRO.</w:t>
      </w:r>
      <w:r>
        <w:rPr>
          <w:rFonts w:ascii="Times New Roman" w:hAnsi="Times New Roman"/>
          <w:b/>
          <w:sz w:val="22"/>
        </w:rPr>
        <w:t>Recherche de la pérennité.</w:t>
      </w:r>
      <w:r>
        <w:rPr>
          <w:rFonts w:ascii="Times New Roman" w:hAnsi="Times New Roman"/>
          <w:sz w:val="22"/>
        </w:rPr>
        <w:t xml:space="preserve"> Nos solutions sont calibrées pour une durée de service de 50 ans à compter de la réception, sauf justification contraire explicite. Les choix techniques sont assortis d'un volet inspectabilité : le maître d'ouvrage doit pouvoir, à dix ou vingt ans, vérifier visuellement ou par moyens simples l'efficacité durable de l'intervention.</w:t>
      </w:r>
      <w:r>
        <w:rPr>
          <w:rFonts w:ascii="Times New Roman" w:hAnsi="Times New Roman"/>
          <w:b/>
          <w:sz w:val="22"/>
        </w:rPr>
        <w:t>Articulation conception / exécution.</w:t>
      </w:r>
      <w:r>
        <w:rPr>
          <w:rFonts w:ascii="Times New Roman" w:hAnsi="Times New Roman"/>
          <w:sz w:val="22"/>
        </w:rPr>
        <w:t xml:space="preserve"> Notre filiale </w:t>
      </w:r>
      <w:r>
        <w:rPr>
          <w:rFonts w:ascii="Times New Roman" w:hAnsi="Times New Roman"/>
          <w:b/>
          <w:sz w:val="22"/>
        </w:rPr>
        <w:t>Syma Consolidation</w:t>
      </w:r>
      <w:r>
        <w:rPr>
          <w:rFonts w:ascii="Times New Roman" w:hAnsi="Times New Roman"/>
          <w:sz w:val="22"/>
        </w:rPr>
        <w:t xml:space="preserve"> intervient sur la phase travaux des opérations que nous concevons. Cette articulation nous permet de valider la faisabilité d'exécution des solutions étudiées dès l'AVP — nous savons dimensionner pour ce qui se construit réellement, pas seulement pour ce qui se calcule. Pour le présent marché, cette articulation se traduit par une fiabilité accrue du chiffrage AVP et PRO, et par une capacité de réponse rapide en cas de besoin de variante en cours de chantier.Nos livrables par phase respectent le découpage MOP et le CCTP du présent marché. La structure de nos rapports place systématiquement en première partie une </w:t>
      </w:r>
      <w:r>
        <w:rPr>
          <w:rFonts w:ascii="Times New Roman" w:hAnsi="Times New Roman"/>
          <w:b/>
          <w:sz w:val="22"/>
        </w:rPr>
        <w:t>synthèse exécutive</w:t>
      </w:r>
      <w:r>
        <w:rPr>
          <w:rFonts w:ascii="Times New Roman" w:hAnsi="Times New Roman"/>
          <w:sz w:val="22"/>
        </w:rPr>
        <w:t xml:space="preserve"> de trois à cinq pages, à destination directe de la direction du maître d'ouvrage, séparée du dossier technique détaillé qui fait foi auprès des entreprises de travaux.</w:t>
      </w:r>
    </w:p>
    <w:p>
      <w:r>
        <w:br w:type="page"/>
      </w:r>
    </w:p>
    <w:p>
      <w:pPr>
        <w:spacing w:before="0" w:after="40"/>
      </w:pPr>
      <w:r>
        <w:rPr>
          <w:rFonts w:ascii="Times New Roman" w:hAnsi="Times New Roman"/>
          <w:b/>
          <w:color w:val="1A3D6E"/>
          <w:sz w:val="56"/>
        </w:rPr>
        <w:t>6.</w:t>
      </w:r>
      <w:r>
        <w:rPr>
          <w:rFonts w:ascii="Times New Roman" w:hAnsi="Times New Roman"/>
          <w:b/>
          <w:color w:val="1A3D6E"/>
          <w:sz w:val="40"/>
        </w:rPr>
        <w:t xml:space="preserve">  Méthodologie</w:t>
      </w:r>
    </w:p>
    <w:p>
      <w:pPr>
        <w:spacing w:after="120"/>
      </w:pPr>
      <w:r>
        <w:rPr>
          <w:rFonts w:ascii="Times New Roman" w:hAnsi="Times New Roman"/>
          <w:i/>
          <w:color w:val="666666"/>
          <w:sz w:val="26"/>
        </w:rPr>
        <w:t>Approche spécifique des sinistres RGA</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La pathologie RGA constitue une part significative de notre activité. Nous mobilisons sur ces sinistres une démarche dédiée, structurée autour des principes suivants.</w:t>
      </w:r>
      <w:r>
        <w:rPr>
          <w:rFonts w:ascii="Times New Roman" w:hAnsi="Times New Roman"/>
          <w:b/>
          <w:sz w:val="22"/>
        </w:rPr>
        <w:t>Caractérisation préalable de l'aléa.</w:t>
      </w:r>
      <w:r>
        <w:rPr>
          <w:rFonts w:ascii="Times New Roman" w:hAnsi="Times New Roman"/>
          <w:sz w:val="22"/>
        </w:rPr>
        <w:t xml:space="preserve"> Avant toute investigation in situ, nous exploitons les données publiques disponibles : cartographie BRGM de l'aléa retrait-gonflement à l'échelle de la parcelle, fiches DDRM départementales, antécédents d'arrêtés de catastrophe naturelle pour la commune (consultation sur Géorisques). Sur le territoire de </w:t>
      </w:r>
      <w:r>
        <w:rPr>
          <w:rFonts w:ascii="Times New Roman" w:hAnsi="Times New Roman"/>
          <w:b/>
          <w:sz w:val="22"/>
        </w:rPr>
        <w:t>le département de l'Isère</w:t>
      </w:r>
      <w:r>
        <w:rPr>
          <w:rFonts w:ascii="Times New Roman" w:hAnsi="Times New Roman"/>
          <w:sz w:val="22"/>
        </w:rPr>
        <w:t>, nous avons une connaissance précise des poches d'aléa moyen et fort, ce qui permet d'orienter d'emblée les investigations vers les hypothèses les plus probables. Cette analyse documentaire de quelques heures évite des programmes d'investigations surdimensionnés.</w:t>
      </w:r>
      <w:r>
        <w:rPr>
          <w:rFonts w:ascii="Times New Roman" w:hAnsi="Times New Roman"/>
          <w:b/>
          <w:sz w:val="22"/>
        </w:rPr>
        <w:t>Relevé orienté.</w:t>
      </w:r>
      <w:r>
        <w:rPr>
          <w:rFonts w:ascii="Times New Roman" w:hAnsi="Times New Roman"/>
          <w:sz w:val="22"/>
        </w:rPr>
        <w:t xml:space="preserve"> Le relevé visuel des désordres est qualifié pour confirmer ou infirmer l'origine RGA. Les indices que nous recherchons systématiquement : fissures en escalier ou en diagonale en façade, désordres concentrés en angle de bâtiment, déformations de planchers bas avec orientation vers la végétation périphérique, blocage de menuiseries (signe de mouvement résiduel), retours sur seuils. La présence de végétation à racines dessicantes dans la zone d'influence (chêne, peuplier, saule, jusqu'à 1,5 fois la hauteur adulte de l'essence) est cartographiée avec précision.</w:t>
      </w:r>
      <w:r>
        <w:rPr>
          <w:rFonts w:ascii="Times New Roman" w:hAnsi="Times New Roman"/>
          <w:b/>
          <w:sz w:val="22"/>
        </w:rPr>
        <w:t>Investigations géotechniques calibrées.</w:t>
      </w:r>
      <w:r>
        <w:rPr>
          <w:rFonts w:ascii="Times New Roman" w:hAnsi="Times New Roman"/>
          <w:sz w:val="22"/>
        </w:rPr>
        <w:t xml:space="preserve"> Sur tout désordre RGA significatif, nous proposons a minima un sondage pressiométrique au droit des zones de désordre, descendu jusqu'au substratum stable (typiquement 6 à 8 mètres en plaine), avec prélèvements pour limites d'Atterberg et valeur de bleu — ce sont les paramètres qui caractérisent la sensibilité argileuse du sol. Un sondage de référence en zone non sinistrée permet la comparaison. Nous mobilisons des partenaires laboratoires reconnus (Fondasol, Hydrogéotechnique, Fugro France ou équivalents) au stade G2-AVP de la norme NF P 94-500 lorsque le besoin de dimensionnement le justifie.</w:t>
      </w:r>
      <w:r>
        <w:rPr>
          <w:rFonts w:ascii="Times New Roman" w:hAnsi="Times New Roman"/>
          <w:b/>
          <w:sz w:val="22"/>
        </w:rPr>
        <w:t>Comparaison de solutions au stade AVP.</w:t>
      </w:r>
      <w:r>
        <w:rPr>
          <w:rFonts w:ascii="Times New Roman" w:hAnsi="Times New Roman"/>
          <w:sz w:val="22"/>
        </w:rPr>
        <w:t xml:space="preserve"> Trois familles de solutions sont systématiquement étudiées et comparées :1. </w:t>
      </w:r>
      <w:r>
        <w:rPr>
          <w:rFonts w:ascii="Times New Roman" w:hAnsi="Times New Roman"/>
          <w:b/>
          <w:sz w:val="22"/>
        </w:rPr>
        <w:t>Solutions périphériques sans intervention sur les fondations</w:t>
      </w:r>
      <w:r>
        <w:rPr>
          <w:rFonts w:ascii="Times New Roman" w:hAnsi="Times New Roman"/>
          <w:sz w:val="22"/>
        </w:rPr>
        <w:t xml:space="preserve"> — drainage, traitement des végétaux générateurs de dessiccation différentielle (élagage encadré, abattage avec essouchage), barrières anti-évaporation type bâches géotextiles enterrées en pied de fondation, dispositifs de régulation hydrique. Économiques (10 à 30 k€ pour un pavillon courant), efficaces sur désordres modérés stabilisés.2. </w:t>
      </w:r>
      <w:r>
        <w:rPr>
          <w:rFonts w:ascii="Times New Roman" w:hAnsi="Times New Roman"/>
          <w:b/>
          <w:sz w:val="22"/>
        </w:rPr>
        <w:t>Reprise par injection</w:t>
      </w:r>
      <w:r>
        <w:rPr>
          <w:rFonts w:ascii="Times New Roman" w:hAnsi="Times New Roman"/>
          <w:sz w:val="22"/>
        </w:rPr>
        <w:t xml:space="preserve"> — coulis de ciment ou résines expansives sous fondations existantes, mise en pression contrôlée pour récupération de tassement résiduel et confinement de la zone d'appui. Solution intermédiaire (30 à 80 k€), pertinente sur désordres modérés évolutifs.3. </w:t>
      </w:r>
      <w:r>
        <w:rPr>
          <w:rFonts w:ascii="Times New Roman" w:hAnsi="Times New Roman"/>
          <w:b/>
          <w:sz w:val="22"/>
        </w:rPr>
        <w:t>Reprise en sous-œuvre par micropieux périphériques</w:t>
      </w:r>
      <w:r>
        <w:rPr>
          <w:rFonts w:ascii="Times New Roman" w:hAnsi="Times New Roman"/>
          <w:sz w:val="22"/>
        </w:rPr>
        <w:t xml:space="preserve"> — micropieux Ø 150 à 250 mm ancrés dans le substratum, longrines de reprise et descente de charge intégrale renvoyée hors zone sensible. Solution lourde (80 à 200 k€ et plus selon ampleur), réservée aux désordres prononcés ou aux ouvrages dont la sécurité structurale résiduelle est compromise.Le choix est argumenté techniquement et économiquement, et la solution la moins lourde compatible avec les enjeux est privilégiée — y compris en validant le cas de figure de l'absence d'intervention structurelle assortie d'un suivi instrumenté de plusieurs années lorsque les désordres sont stabilisés.</w:t>
      </w:r>
      <w:r>
        <w:rPr>
          <w:rFonts w:ascii="Times New Roman" w:hAnsi="Times New Roman"/>
          <w:b/>
          <w:sz w:val="22"/>
        </w:rPr>
        <w:t>Suivi instrumenté.</w:t>
      </w:r>
      <w:r>
        <w:rPr>
          <w:rFonts w:ascii="Times New Roman" w:hAnsi="Times New Roman"/>
          <w:sz w:val="22"/>
        </w:rPr>
        <w:t xml:space="preserve"> Nous proposons systématiquement, dans les cas de désordres dont la cinétique est incertaine, la mise en place d'un dispositif d'instrumentation léger (fissuromètres Saugnac à pointes ou électroniques avec datalogger, capteurs T° et humidité dans la zone d'influence) sur six à douze mois. Le rapport de fin de période oriente la décision vers une intervention ou un suivi prolongé sans engager prématurément des travaux qui pourraient s'avérer surdimensionnés.Sur le territoire concerné par la présente consultation, où </w:t>
      </w:r>
      <w:r>
        <w:rPr>
          <w:rFonts w:ascii="Times New Roman" w:hAnsi="Times New Roman"/>
          <w:b/>
          <w:sz w:val="22"/>
        </w:rPr>
        <w:t>40%</w:t>
      </w:r>
      <w:r>
        <w:rPr>
          <w:rFonts w:ascii="Times New Roman" w:hAnsi="Times New Roman"/>
          <w:sz w:val="22"/>
        </w:rPr>
        <w:t xml:space="preserve"> du patrimoine est exposé à un aléa moyen à fort, cette démarche calibrée permet de concentrer les investissements de confortement sur les ouvrages qui en ont réellement besoin, en proposant aux autres une vigilance instrumentée de coût modéré.</w:t>
      </w:r>
    </w:p>
    <w:p>
      <w:r>
        <w:br w:type="page"/>
      </w:r>
    </w:p>
    <w:p>
      <w:pPr>
        <w:spacing w:before="0" w:after="40"/>
      </w:pPr>
      <w:r>
        <w:rPr>
          <w:rFonts w:ascii="Times New Roman" w:hAnsi="Times New Roman"/>
          <w:b/>
          <w:color w:val="1A3D6E"/>
          <w:sz w:val="56"/>
        </w:rPr>
        <w:t>7.</w:t>
      </w:r>
      <w:r>
        <w:rPr>
          <w:rFonts w:ascii="Times New Roman" w:hAnsi="Times New Roman"/>
          <w:b/>
          <w:color w:val="1A3D6E"/>
          <w:sz w:val="40"/>
        </w:rPr>
        <w:t xml:space="preserve">  Méthodologie</w:t>
      </w:r>
    </w:p>
    <w:p>
      <w:pPr>
        <w:spacing w:after="120"/>
      </w:pPr>
      <w:r>
        <w:rPr>
          <w:rFonts w:ascii="Times New Roman" w:hAnsi="Times New Roman"/>
          <w:i/>
          <w:color w:val="666666"/>
          <w:sz w:val="26"/>
        </w:rPr>
        <w:t>Intervention en site occupé</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La quasi-totalité des ouvrages que nous traitons sont habités. Cette contrainte structure notre organisation et nos engagements.</w:t>
      </w:r>
      <w:r>
        <w:rPr>
          <w:rFonts w:ascii="Times New Roman" w:hAnsi="Times New Roman"/>
          <w:b/>
          <w:sz w:val="22"/>
        </w:rPr>
        <w:t>Coordination locataires.</w:t>
      </w:r>
      <w:r>
        <w:rPr>
          <w:rFonts w:ascii="Times New Roman" w:hAnsi="Times New Roman"/>
          <w:sz w:val="22"/>
        </w:rPr>
        <w:t xml:space="preserve"> Toute intervention en partie privative est précédée d'une notification écrite au locataire concerné, transmise par l'intermédiaire du gardien d'immeuble ou de l'agent de proximité de </w:t>
      </w:r>
      <w:r>
        <w:rPr>
          <w:rFonts w:ascii="Times New Roman" w:hAnsi="Times New Roman"/>
          <w:b/>
          <w:sz w:val="22"/>
        </w:rPr>
        <w:t>l'OPH des Vallées de l'Isère</w:t>
      </w:r>
      <w:r>
        <w:rPr>
          <w:rFonts w:ascii="Times New Roman" w:hAnsi="Times New Roman"/>
          <w:sz w:val="22"/>
        </w:rPr>
        <w:t>. Le préavis minimum est de quinze jours. Les créneaux d'intervention sont calés sur la disponibilité du locataire (jours et plages horaires), et toute reprogrammation à son initiative est prise en compte sans surcoût pour le maître d'ouvrage. Notre interlocuteur de proximité chez le maître d'ouvrage est identifié dès le démarrage de chaque opération.</w:t>
      </w:r>
      <w:r>
        <w:rPr>
          <w:rFonts w:ascii="Times New Roman" w:hAnsi="Times New Roman"/>
          <w:b/>
          <w:sz w:val="22"/>
        </w:rPr>
        <w:t>Investigations destructives en logement.</w:t>
      </w:r>
      <w:r>
        <w:rPr>
          <w:rFonts w:ascii="Times New Roman" w:hAnsi="Times New Roman"/>
          <w:sz w:val="22"/>
        </w:rPr>
        <w:t xml:space="preserve"> Les sondages destructifs, carottages et fenêtres d'investigation en partie privative font l'objet d'un protocole formalisé : signature d'un document d'information par le locataire avant intervention, protection systématique du logement (bâche poussières, protection des sols et meubles, balisage de la zone d'intervention), rebouchage soigné dans la même séance et remise en état esthétique compatible avec l'usage du logement (peinture de raccord à la teinte d'origine ou la plus proche disponible). Nous prenons en charge les éventuels dommages causés au logement ou à ses occupants au-delà des dégradations strictement nécessaires aux investigations programmées.</w:t>
      </w:r>
      <w:r>
        <w:rPr>
          <w:rFonts w:ascii="Times New Roman" w:hAnsi="Times New Roman"/>
          <w:b/>
          <w:sz w:val="22"/>
        </w:rPr>
        <w:t>Risque amiante.</w:t>
      </w:r>
      <w:r>
        <w:rPr>
          <w:rFonts w:ascii="Times New Roman" w:hAnsi="Times New Roman"/>
          <w:sz w:val="22"/>
        </w:rPr>
        <w:t xml:space="preserve"> Sur le patrimoine antérieur à 1997, nous prenons connaissance avant toute intervention destructive du </w:t>
      </w:r>
      <w:r>
        <w:rPr>
          <w:rFonts w:ascii="Times New Roman" w:hAnsi="Times New Roman"/>
          <w:b/>
          <w:sz w:val="22"/>
        </w:rPr>
        <w:t>Dossier Technique Amiante</w:t>
      </w:r>
      <w:r>
        <w:rPr>
          <w:rFonts w:ascii="Times New Roman" w:hAnsi="Times New Roman"/>
          <w:sz w:val="22"/>
        </w:rPr>
        <w:t xml:space="preserve"> de l'immeuble. En cas de doute sur la présence de matériaux amiantés susceptibles d'être impactés par le sondage, nous interrompons l'intervention et alertons le maître d'ouvrage pour validation d'un protocole adapté. Nos intervenants disposent de la formation </w:t>
      </w:r>
      <w:r>
        <w:rPr>
          <w:rFonts w:ascii="Times New Roman" w:hAnsi="Times New Roman"/>
          <w:b/>
          <w:sz w:val="22"/>
        </w:rPr>
        <w:t>sous-section 4</w:t>
      </w:r>
      <w:r>
        <w:rPr>
          <w:rFonts w:ascii="Times New Roman" w:hAnsi="Times New Roman"/>
          <w:sz w:val="22"/>
        </w:rPr>
        <w:t xml:space="preserve"> du Code du travail pour les opérations qui le nécessitent, et nous mobilisons des laboratoires accrédités COFRAC pour les analyses.</w:t>
      </w:r>
      <w:r>
        <w:rPr>
          <w:rFonts w:ascii="Times New Roman" w:hAnsi="Times New Roman"/>
          <w:b/>
          <w:sz w:val="22"/>
        </w:rPr>
        <w:t>Limitation des nuisances.</w:t>
      </w:r>
      <w:r>
        <w:rPr>
          <w:rFonts w:ascii="Times New Roman" w:hAnsi="Times New Roman"/>
          <w:sz w:val="22"/>
        </w:rPr>
        <w:t xml:space="preserve"> Nous calibrons nos interventions pour limiter le bruit, la poussière et les restrictions d'accès. Les opérations de carottage ou de sondage destructif font systématiquement l'objet d'une protection acoustique localisée, et la durée d'intervention en logement est plafonnée à une demi-journée par séance — sauf accord explicite avec le locataire. Lorsque l'opération couvre plusieurs logements d'une même cage d'escalier, un affichage d'information est apposé pour anticiper les questions de la résidence.</w:t>
      </w:r>
      <w:r>
        <w:rPr>
          <w:rFonts w:ascii="Times New Roman" w:hAnsi="Times New Roman"/>
          <w:b/>
          <w:sz w:val="22"/>
        </w:rPr>
        <w:t>Rappel sécurité.</w:t>
      </w:r>
      <w:r>
        <w:rPr>
          <w:rFonts w:ascii="Times New Roman" w:hAnsi="Times New Roman"/>
          <w:sz w:val="22"/>
        </w:rPr>
        <w:t xml:space="preserve"> Nos intervenants disposent des habilitations adaptées (notamment habilitation électrique pour les interventions à proximité de gaines techniques, formation au travail en hauteur lorsque pertinent), avec contrôle annuel de validité.</w:t>
      </w:r>
    </w:p>
    <w:p>
      <w:r>
        <w:br w:type="page"/>
      </w:r>
    </w:p>
    <w:p>
      <w:pPr>
        <w:spacing w:before="0" w:after="40"/>
      </w:pPr>
      <w:r>
        <w:rPr>
          <w:rFonts w:ascii="Times New Roman" w:hAnsi="Times New Roman"/>
          <w:b/>
          <w:color w:val="1A3D6E"/>
          <w:sz w:val="56"/>
        </w:rPr>
        <w:t>8.</w:t>
      </w:r>
      <w:r>
        <w:rPr>
          <w:rFonts w:ascii="Times New Roman" w:hAnsi="Times New Roman"/>
          <w:b/>
          <w:color w:val="1A3D6E"/>
          <w:sz w:val="40"/>
        </w:rPr>
        <w:t xml:space="preserve">  Moyens</w:t>
      </w:r>
    </w:p>
    <w:p>
      <w:pPr>
        <w:spacing w:after="120"/>
      </w:pPr>
      <w:r>
        <w:rPr>
          <w:rFonts w:ascii="Times New Roman" w:hAnsi="Times New Roman"/>
          <w:i/>
          <w:color w:val="666666"/>
          <w:sz w:val="26"/>
        </w:rPr>
        <w:t>Moyens humains et organisation</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L'équipe pressentie pour le présent marché est dimensionnée pour absorber la sollicitation prévisible et garantir la continuité de service sur la durée des quatre années du marché.</w:t>
      </w:r>
      <w:r>
        <w:rPr>
          <w:rFonts w:ascii="Times New Roman" w:hAnsi="Times New Roman"/>
          <w:b/>
          <w:sz w:val="22"/>
        </w:rPr>
        <w:t>Chef de projet unique.</w:t>
      </w:r>
      <w:r>
        <w:rPr>
          <w:rFonts w:ascii="Times New Roman" w:hAnsi="Times New Roman"/>
          <w:sz w:val="22"/>
        </w:rPr>
        <w:t xml:space="preserve"> </w:t>
      </w:r>
      <w:r>
        <w:rPr>
          <w:rFonts w:ascii="Times New Roman" w:hAnsi="Times New Roman"/>
          <w:b/>
          <w:sz w:val="22"/>
        </w:rPr>
        <w:t>M. Jean Dupont</w:t>
      </w:r>
      <w:r>
        <w:rPr>
          <w:rFonts w:ascii="Times New Roman" w:hAnsi="Times New Roman"/>
          <w:sz w:val="22"/>
        </w:rPr>
        <w:t xml:space="preserve">, ingénieur structures avec </w:t>
      </w:r>
      <w:r>
        <w:rPr>
          <w:rFonts w:ascii="Times New Roman" w:hAnsi="Times New Roman"/>
          <w:b/>
          <w:sz w:val="22"/>
        </w:rPr>
        <w:t>10 ans</w:t>
      </w:r>
      <w:r>
        <w:rPr>
          <w:rFonts w:ascii="Times New Roman" w:hAnsi="Times New Roman"/>
          <w:sz w:val="22"/>
        </w:rPr>
        <w:t xml:space="preserve"> d'expérience en diagnostic et confortement, est désigné comme chef de projet unique pour l'ensemble du marché. Il est l'interlocuteur principal du maître d'ouvrage et garant de la cohérence technique des livrables. Il est suppléé par un second ingénieur structures expérimenté, dûment habilité, mobilisable en cas d'indisponibilité.</w:t>
      </w:r>
      <w:r>
        <w:rPr>
          <w:rFonts w:ascii="Times New Roman" w:hAnsi="Times New Roman"/>
          <w:b/>
          <w:sz w:val="22"/>
        </w:rPr>
        <w:t>Équipe technique.</w:t>
      </w:r>
      <w:r>
        <w:rPr>
          <w:rFonts w:ascii="Times New Roman" w:hAnsi="Times New Roman"/>
          <w:sz w:val="22"/>
        </w:rPr>
        <w:t xml:space="preserve"> Au-delà du chef de projet, </w:t>
      </w:r>
      <w:r>
        <w:rPr>
          <w:rFonts w:ascii="Times New Roman" w:hAnsi="Times New Roman"/>
          <w:b/>
          <w:sz w:val="22"/>
        </w:rPr>
        <w:t>Repair Ingénierie</w:t>
      </w:r>
      <w:r>
        <w:rPr>
          <w:rFonts w:ascii="Times New Roman" w:hAnsi="Times New Roman"/>
          <w:sz w:val="22"/>
        </w:rPr>
        <w:t xml:space="preserve"> mobilise sur ce marché, selon la nature et l'ampleur des bons de commande :- Un </w:t>
      </w:r>
      <w:r>
        <w:rPr>
          <w:rFonts w:ascii="Times New Roman" w:hAnsi="Times New Roman"/>
          <w:b/>
          <w:sz w:val="22"/>
        </w:rPr>
        <w:t>ingénieur calculs</w:t>
      </w:r>
      <w:r>
        <w:rPr>
          <w:rFonts w:ascii="Times New Roman" w:hAnsi="Times New Roman"/>
          <w:sz w:val="22"/>
        </w:rPr>
        <w:t xml:space="preserve"> ayant pratique des Eurocodes 0/1/2/3/5/8 et de la modélisation aux éléments finis, pour les opérations nécessitant un dimensionnement justifié ou une analyse rétroactive d'ouvrage existant ;- Un </w:t>
      </w:r>
      <w:r>
        <w:rPr>
          <w:rFonts w:ascii="Times New Roman" w:hAnsi="Times New Roman"/>
          <w:b/>
          <w:sz w:val="22"/>
        </w:rPr>
        <w:t>technicien d'investigations</w:t>
      </w:r>
      <w:r>
        <w:rPr>
          <w:rFonts w:ascii="Times New Roman" w:hAnsi="Times New Roman"/>
          <w:sz w:val="22"/>
        </w:rPr>
        <w:t xml:space="preserve"> pour la conduite des relevés et investigations in situ (pacométrie, sclérométrie, endoscopie, instrumentation) ;- Un </w:t>
      </w:r>
      <w:r>
        <w:rPr>
          <w:rFonts w:ascii="Times New Roman" w:hAnsi="Times New Roman"/>
          <w:b/>
          <w:sz w:val="22"/>
        </w:rPr>
        <w:t>projeteur structures</w:t>
      </w:r>
      <w:r>
        <w:rPr>
          <w:rFonts w:ascii="Times New Roman" w:hAnsi="Times New Roman"/>
          <w:sz w:val="22"/>
        </w:rPr>
        <w:t xml:space="preserve"> maîtrisant les outils CAO (DWG, formats IFC) pour la production des plans EXE ou VISA ;- L'accès à des </w:t>
      </w:r>
      <w:r>
        <w:rPr>
          <w:rFonts w:ascii="Times New Roman" w:hAnsi="Times New Roman"/>
          <w:b/>
          <w:sz w:val="22"/>
        </w:rPr>
        <w:t>partenaires laboratoires</w:t>
      </w:r>
      <w:r>
        <w:rPr>
          <w:rFonts w:ascii="Times New Roman" w:hAnsi="Times New Roman"/>
          <w:sz w:val="22"/>
        </w:rPr>
        <w:t xml:space="preserve"> reconnus pour les essais matériaux (compression, carbonatation, chimie béton et acier) et les missions géotechniques (G2-AVP / G2-PRO).L'effectif structures total de </w:t>
      </w:r>
      <w:r>
        <w:rPr>
          <w:rFonts w:ascii="Times New Roman" w:hAnsi="Times New Roman"/>
          <w:b/>
          <w:sz w:val="22"/>
        </w:rPr>
        <w:t>Repair Ingénierie</w:t>
      </w:r>
      <w:r>
        <w:rPr>
          <w:rFonts w:ascii="Times New Roman" w:hAnsi="Times New Roman"/>
          <w:sz w:val="22"/>
        </w:rPr>
        <w:t xml:space="preserve"> est de </w:t>
      </w:r>
      <w:r>
        <w:rPr>
          <w:rFonts w:ascii="Times New Roman" w:hAnsi="Times New Roman"/>
          <w:b/>
          <w:sz w:val="22"/>
        </w:rPr>
        <w:t>8 personnes, dont 5 ingénieurs structures</w:t>
      </w:r>
      <w:r>
        <w:rPr>
          <w:rFonts w:ascii="Times New Roman" w:hAnsi="Times New Roman"/>
          <w:sz w:val="22"/>
        </w:rPr>
        <w:t>, ce qui garantit la capacité de mobilisation parallèle sur plusieurs bons de commande sans impact sur les délais.</w:t>
      </w:r>
      <w:r>
        <w:rPr>
          <w:rFonts w:ascii="Times New Roman" w:hAnsi="Times New Roman"/>
          <w:b/>
          <w:sz w:val="22"/>
        </w:rPr>
        <w:t>Continuité.</w:t>
      </w:r>
      <w:r>
        <w:rPr>
          <w:rFonts w:ascii="Times New Roman" w:hAnsi="Times New Roman"/>
          <w:sz w:val="22"/>
        </w:rPr>
        <w:t xml:space="preserve"> Tout changement d'affectation du chef de projet en cours de marché serait soumis à l'accord préalable du maître d'ouvrage, conformément à l'article 3.4 du CCAP. Notre dimensionnement et notre rotation interne sont calibrés pour rendre cette éventualité hautement improbable.</w:t>
      </w:r>
      <w:r>
        <w:rPr>
          <w:rFonts w:ascii="Times New Roman" w:hAnsi="Times New Roman"/>
          <w:b/>
          <w:sz w:val="22"/>
        </w:rPr>
        <w:t>Réunion de lancement par bon de commande.</w:t>
      </w:r>
      <w:r>
        <w:rPr>
          <w:rFonts w:ascii="Times New Roman" w:hAnsi="Times New Roman"/>
          <w:sz w:val="22"/>
        </w:rPr>
        <w:t xml:space="preserve"> Pour chaque bon de commande, une réunion de lancement est organisée dans les dix jours ouvrés suivant la notification, en présentiel ou en visioconférence selon la préférence du maître d'ouvrage. Cette réunion permet de cadrer précisément les attendus, le planning, les modalités d'accès au site et les interlocuteurs.</w:t>
      </w:r>
      <w:r>
        <w:rPr>
          <w:rFonts w:ascii="Times New Roman" w:hAnsi="Times New Roman"/>
          <w:b/>
          <w:sz w:val="22"/>
        </w:rPr>
        <w:t>Reporting.</w:t>
      </w:r>
      <w:r>
        <w:rPr>
          <w:rFonts w:ascii="Times New Roman" w:hAnsi="Times New Roman"/>
          <w:sz w:val="22"/>
        </w:rPr>
        <w:t xml:space="preserve"> Nous tenons un tableau de bord du marché que nous adressons au maître d'ouvrage tous les trimestres : état d'avancement de chaque bon de commande, alertes éventuelles, charge prévisionnelle des trois prochains mois, retours d'expérience marquants. Ce reporting alimente la programmation patrimoniale du maître d'ouvrage et facilite les arbitrages d'opportunité.</w:t>
      </w:r>
    </w:p>
    <w:p>
      <w:r>
        <w:br w:type="page"/>
      </w:r>
    </w:p>
    <w:p>
      <w:pPr>
        <w:spacing w:before="0" w:after="40"/>
      </w:pPr>
      <w:r>
        <w:rPr>
          <w:rFonts w:ascii="Times New Roman" w:hAnsi="Times New Roman"/>
          <w:b/>
          <w:color w:val="1A3D6E"/>
          <w:sz w:val="56"/>
        </w:rPr>
        <w:t>9.</w:t>
      </w:r>
      <w:r>
        <w:rPr>
          <w:rFonts w:ascii="Times New Roman" w:hAnsi="Times New Roman"/>
          <w:b/>
          <w:color w:val="1A3D6E"/>
          <w:sz w:val="40"/>
        </w:rPr>
        <w:t xml:space="preserve">  Qualifications et références</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Qualifications professionnelles</w:t>
      </w:r>
      <w:r>
        <w:rPr>
          <w:rFonts w:ascii="Times New Roman" w:hAnsi="Times New Roman"/>
          <w:b/>
          <w:sz w:val="22"/>
        </w:rPr>
        <w:t>Repair Ingénierie</w:t>
      </w:r>
      <w:r>
        <w:rPr>
          <w:rFonts w:ascii="Times New Roman" w:hAnsi="Times New Roman"/>
          <w:sz w:val="22"/>
        </w:rPr>
        <w:t xml:space="preserve"> dispose des qualifications professionnelles suivantes, attestées par les organismes compétents :</w:t>
      </w:r>
      <w:r>
        <w:rPr>
          <w:rFonts w:ascii="Times New Roman" w:hAnsi="Times New Roman"/>
          <w:i/>
          <w:sz w:val="22"/>
        </w:rPr>
        <w:t xml:space="preserve"> OPQIBI 1801 (Diagnostic structurel)</w:t>
      </w:r>
      <w:r>
        <w:rPr>
          <w:rFonts w:ascii="Times New Roman" w:hAnsi="Times New Roman"/>
          <w:sz w:val="22"/>
        </w:rPr>
        <w:t xml:space="preserve"> OPQIBI 1802 (Étude structures bâtiment, ouvrages courants)</w:t>
      </w:r>
      <w:r>
        <w:rPr>
          <w:rFonts w:ascii="Times New Roman" w:hAnsi="Times New Roman"/>
          <w:i/>
          <w:sz w:val="22"/>
        </w:rPr>
        <w:t xml:space="preserve"> OPQIBI 1803 (Étude structures bâtiment, ouvrages complexes)</w:t>
      </w:r>
      <w:r>
        <w:rPr>
          <w:rFonts w:ascii="Times New Roman" w:hAnsi="Times New Roman"/>
          <w:sz w:val="22"/>
        </w:rPr>
        <w:t xml:space="preserve"> OPQIBI 1812 (Étude structures résistant au séisme)Ces qualifications attestent de notre maîtrise du champ couvert par la présente consultation : diagnostic structurel, étude de structures de bâtiment courantes et complexes, et — selon le cas — étude des structures résistant au séisme. Les attestations sont jointes en annexe.### Approche des référencesAu-delà des références chiffrées que nous présentons ci-dessous, notre conviction est que la pertinence d'une référence se mesure à trois critères : </w:t>
      </w:r>
      <w:r>
        <w:rPr>
          <w:rFonts w:ascii="Times New Roman" w:hAnsi="Times New Roman"/>
          <w:b/>
          <w:sz w:val="22"/>
        </w:rPr>
        <w:t>comparabilité de la typologie d'ouvrage</w:t>
      </w:r>
      <w:r>
        <w:rPr>
          <w:rFonts w:ascii="Times New Roman" w:hAnsi="Times New Roman"/>
          <w:sz w:val="22"/>
        </w:rPr>
        <w:t xml:space="preserve"> (équivalence en âge, mode constructif et environnement) ; </w:t>
      </w:r>
      <w:r>
        <w:rPr>
          <w:rFonts w:ascii="Times New Roman" w:hAnsi="Times New Roman"/>
          <w:b/>
          <w:sz w:val="22"/>
        </w:rPr>
        <w:t>comparabilité du désordre traité</w:t>
      </w:r>
      <w:r>
        <w:rPr>
          <w:rFonts w:ascii="Times New Roman" w:hAnsi="Times New Roman"/>
          <w:sz w:val="22"/>
        </w:rPr>
        <w:t xml:space="preserve"> (cause, ampleur, cinétique) ; et </w:t>
      </w:r>
      <w:r>
        <w:rPr>
          <w:rFonts w:ascii="Times New Roman" w:hAnsi="Times New Roman"/>
          <w:b/>
          <w:sz w:val="22"/>
        </w:rPr>
        <w:t>retour d'expérience disponible</w:t>
      </w:r>
      <w:r>
        <w:rPr>
          <w:rFonts w:ascii="Times New Roman" w:hAnsi="Times New Roman"/>
          <w:sz w:val="22"/>
        </w:rPr>
        <w:t xml:space="preserve"> (recul à un, trois et cinq ans après l'intervention sur l'efficacité de la solution mise en œuvre). Nous avons sélectionné nos références pour couvrir ces trois dimensions.### Références récentes pertinentes pour le marchéNous présentons ci-après trois références jugées les plus représentatives sur les </w:t>
      </w:r>
      <w:r>
        <w:rPr>
          <w:rFonts w:ascii="Times New Roman" w:hAnsi="Times New Roman"/>
          <w:b/>
          <w:sz w:val="22"/>
        </w:rPr>
        <w:t>plus de 50</w:t>
      </w:r>
      <w:r>
        <w:rPr>
          <w:rFonts w:ascii="Times New Roman" w:hAnsi="Times New Roman"/>
          <w:sz w:val="22"/>
        </w:rPr>
        <w:t xml:space="preserve"> opérations comparables que nous avons menées au cours des cinq dernières années. Le détail complet de chaque référence (maître d'ouvrage, montant honoraires, montant travaux, descriptif technique, période, retour d'expérience) figure en annexe de la candidature.</w:t>
      </w:r>
      <w:r>
        <w:rPr>
          <w:rFonts w:ascii="Times New Roman" w:hAnsi="Times New Roman"/>
          <w:b/>
          <w:sz w:val="22"/>
        </w:rPr>
        <w:t>Référence 1 — Diagnostic et MOE de confortement RGA sur 15 pavillons sociaux (Maître d'ouvrage : Bailleur social X, 2022-2024)</w:t>
      </w:r>
      <w:r>
        <w:rPr>
          <w:rFonts w:ascii="Times New Roman" w:hAnsi="Times New Roman"/>
          <w:b/>
          <w:sz w:val="22"/>
        </w:rPr>
        <w:t>Référence 2 — Expertise et renforcement de planchers à corps creux sur 3 immeubles collectifs (Maître d'ouvrage : Collectivité Y, 2021-2023)</w:t>
      </w:r>
      <w:r>
        <w:rPr>
          <w:rFonts w:ascii="Times New Roman" w:hAnsi="Times New Roman"/>
          <w:b/>
          <w:sz w:val="22"/>
        </w:rPr>
        <w:t xml:space="preserve">Référence 3 — Diagnostic de corrosion d'armatures et réparation de façades béton sur résidence de 80 logements (Maître d'ouvrage : OPH Z, 2020-2022)### Continuité d'engagement sur le marché objetSur la durée des quatre années du présent marché, </w:t>
      </w:r>
      <w:r>
        <w:rPr>
          <w:rFonts w:ascii="Times New Roman" w:hAnsi="Times New Roman"/>
          <w:sz w:val="22"/>
        </w:rPr>
        <w:t>Repair Ingénierie** s'engage à mobiliser le savoir-faire démontré par ces références sur l'ensemble des bons de commande, et à enrichir le portefeuille de retours d'expérience qu'il met à disposition du maître d'ouvrage à chaque bilan annuel du marché.</w:t>
      </w:r>
    </w:p>
    <w:p>
      <w:r>
        <w:br w:type="page"/>
      </w:r>
    </w:p>
    <w:p>
      <w:pPr>
        <w:spacing w:before="0" w:after="40"/>
      </w:pPr>
      <w:r>
        <w:rPr>
          <w:rFonts w:ascii="Times New Roman" w:hAnsi="Times New Roman"/>
          <w:b/>
          <w:color w:val="1A3D6E"/>
          <w:sz w:val="56"/>
        </w:rPr>
        <w:t>10.</w:t>
      </w:r>
      <w:r>
        <w:rPr>
          <w:rFonts w:ascii="Times New Roman" w:hAnsi="Times New Roman"/>
          <w:b/>
          <w:color w:val="1A3D6E"/>
          <w:sz w:val="40"/>
        </w:rPr>
        <w:t xml:space="preserve">  Démarche qualité et livrables</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xml:space="preserve">### Structure de nos rapportsLes rapports que nous remettons sont structurés en deux niveaux clairement séparés : une </w:t>
      </w:r>
      <w:r>
        <w:rPr>
          <w:rFonts w:ascii="Times New Roman" w:hAnsi="Times New Roman"/>
          <w:b/>
          <w:sz w:val="22"/>
        </w:rPr>
        <w:t>synthèse exécutive</w:t>
      </w:r>
      <w:r>
        <w:rPr>
          <w:rFonts w:ascii="Times New Roman" w:hAnsi="Times New Roman"/>
          <w:sz w:val="22"/>
        </w:rPr>
        <w:t xml:space="preserve"> de trois à cinq pages destinée à la direction du maître d'ouvrage, qui doit pouvoir prendre une décision sans avoir à parcourir les annexes techniques ; et un </w:t>
      </w:r>
      <w:r>
        <w:rPr>
          <w:rFonts w:ascii="Times New Roman" w:hAnsi="Times New Roman"/>
          <w:b/>
          <w:sz w:val="22"/>
        </w:rPr>
        <w:t>dossier technique détaillé</w:t>
      </w:r>
      <w:r>
        <w:rPr>
          <w:rFonts w:ascii="Times New Roman" w:hAnsi="Times New Roman"/>
          <w:sz w:val="22"/>
        </w:rPr>
        <w:t xml:space="preserve"> qui fait foi auprès des entreprises de travaux et qui rassemble les investigations, les analyses, les notes de calcul et les plans. Cette séparation, imposée par notre pratique des sinistres assurance où la rapidité de décision compte, s'est révélée particulièrement appréciée des maîtres d'ouvrage publics auxquels elle facilite la vie en réunion d'arbitrage.### Dispositif de relecture interneChaque livrable fait l'objet d'une </w:t>
      </w:r>
      <w:r>
        <w:rPr>
          <w:rFonts w:ascii="Times New Roman" w:hAnsi="Times New Roman"/>
          <w:b/>
          <w:sz w:val="22"/>
        </w:rPr>
        <w:t>double relecture interne</w:t>
      </w:r>
      <w:r>
        <w:rPr>
          <w:rFonts w:ascii="Times New Roman" w:hAnsi="Times New Roman"/>
          <w:sz w:val="22"/>
        </w:rPr>
        <w:t xml:space="preserve"> avant remise : une relecture technique par un ingénieur structures distinct du rédacteur, et une relecture éditoriale pour la cohérence de fond et la lisibilité. Sur les opérations à enjeu (sécurité structurale en jeu, désordre évolutif, montant de travaux significatif), une relecture additionnelle par le directeur technique de </w:t>
      </w:r>
      <w:r>
        <w:rPr>
          <w:rFonts w:ascii="Times New Roman" w:hAnsi="Times New Roman"/>
          <w:b/>
          <w:sz w:val="22"/>
        </w:rPr>
        <w:t>Repair Ingénierie</w:t>
      </w:r>
      <w:r>
        <w:rPr>
          <w:rFonts w:ascii="Times New Roman" w:hAnsi="Times New Roman"/>
          <w:sz w:val="22"/>
        </w:rPr>
        <w:t xml:space="preserve"> est systématique.### Formats de remiseConformément aux exigences du CCTP du présent marché, l'ensemble des livrables est remis dans les formats suivants :- </w:t>
      </w:r>
      <w:r>
        <w:rPr>
          <w:rFonts w:ascii="Times New Roman" w:hAnsi="Times New Roman"/>
          <w:b/>
          <w:sz w:val="22"/>
        </w:rPr>
        <w:t>Rapports</w:t>
      </w:r>
      <w:r>
        <w:rPr>
          <w:rFonts w:ascii="Times New Roman" w:hAnsi="Times New Roman"/>
          <w:sz w:val="22"/>
        </w:rPr>
        <w:t xml:space="preserve"> : PDF haute définition + sources éditables (Word ou InDesign selon la nature du livrable).- </w:t>
      </w:r>
      <w:r>
        <w:rPr>
          <w:rFonts w:ascii="Times New Roman" w:hAnsi="Times New Roman"/>
          <w:b/>
          <w:sz w:val="22"/>
        </w:rPr>
        <w:t>Plans</w:t>
      </w:r>
      <w:r>
        <w:rPr>
          <w:rFonts w:ascii="Times New Roman" w:hAnsi="Times New Roman"/>
          <w:sz w:val="22"/>
        </w:rPr>
        <w:t xml:space="preserve"> : DWG (AutoCAD 2018 minimum) et PDF, avec convention de calques transmise au maître d'ouvrage au démarrage du marché et appliquée de façon homogène sur toutes les opérations.- </w:t>
      </w:r>
      <w:r>
        <w:rPr>
          <w:rFonts w:ascii="Times New Roman" w:hAnsi="Times New Roman"/>
          <w:b/>
          <w:sz w:val="22"/>
        </w:rPr>
        <w:t>Notes de calcul</w:t>
      </w:r>
      <w:r>
        <w:rPr>
          <w:rFonts w:ascii="Times New Roman" w:hAnsi="Times New Roman"/>
          <w:sz w:val="22"/>
        </w:rPr>
        <w:t xml:space="preserve"> : PDF + sources des modèles (fichier projet du logiciel utilisé, ce qui permet au maître d'ouvrage de mobiliser un tiers vérificateur si nécessaire).- </w:t>
      </w:r>
      <w:r>
        <w:rPr>
          <w:rFonts w:ascii="Times New Roman" w:hAnsi="Times New Roman"/>
          <w:b/>
          <w:sz w:val="22"/>
        </w:rPr>
        <w:t>Photographies</w:t>
      </w:r>
      <w:r>
        <w:rPr>
          <w:rFonts w:ascii="Times New Roman" w:hAnsi="Times New Roman"/>
          <w:sz w:val="22"/>
        </w:rPr>
        <w:t xml:space="preserve"> : JPEG haute définition (5 Mpx minimum), datées et géolocalisées lorsque possible.### Identification des livrablesChaque livrable porte une référence normée combinant : numéro du marché, numéro du bon de commande, code de la résidence concernée, indice de version et date. Toute version révisée est accompagnée d'une note récapitulative des modifications, de manière à éviter toute ambiguïté sur la version en vigueur.### ArchivageNous conservons l'ensemble des livrables et des données brutes (résultats d'investigations, modèles de calcul, photographies) pendant </w:t>
      </w:r>
      <w:r>
        <w:rPr>
          <w:rFonts w:ascii="Times New Roman" w:hAnsi="Times New Roman"/>
          <w:b/>
          <w:sz w:val="22"/>
        </w:rPr>
        <w:t>dix années</w:t>
      </w:r>
      <w:r>
        <w:rPr>
          <w:rFonts w:ascii="Times New Roman" w:hAnsi="Times New Roman"/>
          <w:sz w:val="22"/>
        </w:rPr>
        <w:t xml:space="preserve"> à compter de la fin du marché, conformément à l'article 10.3 du CCTP, et nous nous engageons à les mettre à disposition du maître d'ouvrage sur simple demande pendant cette durée.### Indicateurs qualité engagésAu-delà des procédures, nous mesurons concrètement la qualité de notre prestation par les indicateurs suivants, que nous suivons en interne et que nous communiquons au maître d'ouvrage à chaque bilan annuel du marché :| Indicateur | Engagement ||---|---|| Taux de livrables acceptés sans réserve </w:t>
      </w:r>
      <w:r>
        <w:rPr>
          <w:rFonts w:ascii="Times New Roman" w:hAnsi="Times New Roman"/>
          <w:b/>
          <w:sz w:val="22"/>
        </w:rPr>
        <w:t>au premier passage</w:t>
      </w:r>
      <w:r>
        <w:rPr>
          <w:rFonts w:ascii="Times New Roman" w:hAnsi="Times New Roman"/>
          <w:sz w:val="22"/>
        </w:rPr>
        <w:t xml:space="preserve"> | ≥ </w:t>
      </w:r>
      <w:r>
        <w:rPr>
          <w:rFonts w:ascii="Times New Roman" w:hAnsi="Times New Roman"/>
          <w:b/>
          <w:sz w:val="22"/>
        </w:rPr>
        <w:t>95 %</w:t>
      </w:r>
      <w:r>
        <w:rPr>
          <w:rFonts w:ascii="Times New Roman" w:hAnsi="Times New Roman"/>
          <w:sz w:val="22"/>
        </w:rPr>
        <w:t xml:space="preserve"> || Taux de retours pour reformulation ou complément | ≤ 5 % || Délai de prise en compte d'une remarque du maître d'ouvrage | ≤ </w:t>
      </w:r>
      <w:r>
        <w:rPr>
          <w:rFonts w:ascii="Times New Roman" w:hAnsi="Times New Roman"/>
          <w:b/>
          <w:sz w:val="22"/>
        </w:rPr>
        <w:t>48 heures ouvrées</w:t>
      </w:r>
      <w:r>
        <w:rPr>
          <w:rFonts w:ascii="Times New Roman" w:hAnsi="Times New Roman"/>
          <w:sz w:val="22"/>
        </w:rPr>
        <w:t xml:space="preserve"> || Taux de respect des délais d'engagement par bon de commande | ≥ </w:t>
      </w:r>
      <w:r>
        <w:rPr>
          <w:rFonts w:ascii="Times New Roman" w:hAnsi="Times New Roman"/>
          <w:b/>
          <w:sz w:val="22"/>
        </w:rPr>
        <w:t>97 %</w:t>
      </w:r>
      <w:r>
        <w:rPr>
          <w:rFonts w:ascii="Times New Roman" w:hAnsi="Times New Roman"/>
          <w:sz w:val="22"/>
        </w:rPr>
        <w:t xml:space="preserve"> || Audit interne de cohérence sur les opérations à enjeu | </w:t>
      </w:r>
      <w:r>
        <w:rPr>
          <w:rFonts w:ascii="Times New Roman" w:hAnsi="Times New Roman"/>
          <w:b/>
          <w:sz w:val="22"/>
        </w:rPr>
        <w:t>systématique</w:t>
      </w:r>
      <w:r>
        <w:rPr>
          <w:rFonts w:ascii="Times New Roman" w:hAnsi="Times New Roman"/>
          <w:sz w:val="22"/>
        </w:rPr>
        <w:t xml:space="preserve"> (relecture par directeur technique) || Mise à jour annuelle du plan d'amélioration continue | </w:t>
      </w:r>
      <w:r>
        <w:rPr>
          <w:rFonts w:ascii="Times New Roman" w:hAnsi="Times New Roman"/>
          <w:b/>
          <w:sz w:val="22"/>
        </w:rPr>
        <w:t>annuelle</w:t>
      </w:r>
      <w:r>
        <w:rPr>
          <w:rFonts w:ascii="Times New Roman" w:hAnsi="Times New Roman"/>
          <w:sz w:val="22"/>
        </w:rPr>
        <w:t xml:space="preserve">, transmise au maître d'ouvrage |Tout écart constaté à ces engagements donne lieu à une </w:t>
      </w:r>
      <w:r>
        <w:rPr>
          <w:rFonts w:ascii="Times New Roman" w:hAnsi="Times New Roman"/>
          <w:b/>
          <w:sz w:val="22"/>
        </w:rPr>
        <w:t>action corrective documentée</w:t>
      </w:r>
      <w:r>
        <w:rPr>
          <w:rFonts w:ascii="Times New Roman" w:hAnsi="Times New Roman"/>
          <w:sz w:val="22"/>
        </w:rPr>
        <w:t xml:space="preserve"> sous quinze jours et fait l'objet d'un point en réunion trimestrielle de pilotage du marché. La démarche est animée par le directeur technique de </w:t>
      </w:r>
      <w:r>
        <w:rPr>
          <w:rFonts w:ascii="Times New Roman" w:hAnsi="Times New Roman"/>
          <w:b/>
          <w:sz w:val="22"/>
        </w:rPr>
        <w:t>Repair Ingénierie</w:t>
      </w:r>
      <w:r>
        <w:rPr>
          <w:rFonts w:ascii="Times New Roman" w:hAnsi="Times New Roman"/>
          <w:sz w:val="22"/>
        </w:rPr>
        <w:t>, qui est l'interlocuteur identifié du maître d'ouvrage pour toute remontée qualité.</w:t>
      </w:r>
    </w:p>
    <w:p>
      <w:r>
        <w:br w:type="page"/>
      </w:r>
    </w:p>
    <w:p>
      <w:pPr>
        <w:spacing w:before="0" w:after="40"/>
      </w:pPr>
      <w:r>
        <w:rPr>
          <w:rFonts w:ascii="Times New Roman" w:hAnsi="Times New Roman"/>
          <w:b/>
          <w:color w:val="1A3D6E"/>
          <w:sz w:val="56"/>
        </w:rPr>
        <w:t>11.</w:t>
      </w:r>
      <w:r>
        <w:rPr>
          <w:rFonts w:ascii="Times New Roman" w:hAnsi="Times New Roman"/>
          <w:b/>
          <w:color w:val="1A3D6E"/>
          <w:sz w:val="40"/>
        </w:rPr>
        <w:t xml:space="preserve">  Planning et réactivité</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xml:space="preserve">Notre pratique des sinistres assurance nous a habitués à des délais courts et à une exigence forte de fiabilité du planning annoncé. Nous transposons cette discipline aux engagements pris dans le cadre du présent marché.### Engagements par typologie de mission| Typologie | Délai engagé ||---|---|| Diagnostic structurel courant — du bon de commande à la remise du rapport définitif | </w:t>
      </w:r>
      <w:r>
        <w:rPr>
          <w:rFonts w:ascii="Times New Roman" w:hAnsi="Times New Roman"/>
          <w:b/>
          <w:sz w:val="22"/>
        </w:rPr>
        <w:t>5 semaines</w:t>
      </w:r>
      <w:r>
        <w:rPr>
          <w:rFonts w:ascii="Times New Roman" w:hAnsi="Times New Roman"/>
          <w:sz w:val="22"/>
        </w:rPr>
        <w:t xml:space="preserve"> || Expertise urgente — première visite sur site | </w:t>
      </w:r>
      <w:r>
        <w:rPr>
          <w:rFonts w:ascii="Times New Roman" w:hAnsi="Times New Roman"/>
          <w:b/>
          <w:sz w:val="22"/>
        </w:rPr>
        <w:t>2 jours ouvrés</w:t>
      </w:r>
      <w:r>
        <w:rPr>
          <w:rFonts w:ascii="Times New Roman" w:hAnsi="Times New Roman"/>
          <w:sz w:val="22"/>
        </w:rPr>
        <w:t xml:space="preserve"> || Expertise urgente — remise du rapport | </w:t>
      </w:r>
      <w:r>
        <w:rPr>
          <w:rFonts w:ascii="Times New Roman" w:hAnsi="Times New Roman"/>
          <w:b/>
          <w:sz w:val="22"/>
        </w:rPr>
        <w:t>3 semaines</w:t>
      </w:r>
      <w:r>
        <w:rPr>
          <w:rFonts w:ascii="Times New Roman" w:hAnsi="Times New Roman"/>
          <w:sz w:val="22"/>
        </w:rPr>
        <w:t xml:space="preserve"> || Maîtrise d'œuvre confortement — phase ETU (DIAG à PRO) | </w:t>
      </w:r>
      <w:r>
        <w:rPr>
          <w:rFonts w:ascii="Times New Roman" w:hAnsi="Times New Roman"/>
          <w:b/>
          <w:sz w:val="22"/>
        </w:rPr>
        <w:t>16 semaines</w:t>
      </w:r>
      <w:r>
        <w:rPr>
          <w:rFonts w:ascii="Times New Roman" w:hAnsi="Times New Roman"/>
          <w:sz w:val="22"/>
        </w:rPr>
        <w:t xml:space="preserve"> |Ces engagements, plus serrés que les délais maximaux fixés par le CCAP, traduisent notre capacité réelle d'intervention. Ils constituent un engagement contractuel du présent marché.### Capacité de mobilisation parallèleNotre dimensionnement humain nous permet de mener simultanément plusieurs bons de commande sans dégradation des délais sur l'un ou l'autre. La rotation des chargés d'opération au sein de l'équipe est organisée en tenant à jour un plan de charge prévisionnel sur deux à trois mois, ce qui permet d'absorber sans heurts les pics d'activité du maître d'ouvrage (typiquement après les épisodes de sécheresse pour la pathologie RGA).### Gestion des urgencesPour les missions d'expertise urgente déclenchées en cas de présomption de péril imminent ou de désordre évolutif rapide, nous garantissons une mobilisation sous </w:t>
      </w:r>
      <w:r>
        <w:rPr>
          <w:rFonts w:ascii="Times New Roman" w:hAnsi="Times New Roman"/>
          <w:b/>
          <w:sz w:val="22"/>
        </w:rPr>
        <w:t>24 heures</w:t>
      </w:r>
      <w:r>
        <w:rPr>
          <w:rFonts w:ascii="Times New Roman" w:hAnsi="Times New Roman"/>
          <w:sz w:val="22"/>
        </w:rPr>
        <w:t>. Cette astreinte technique est assurée par le chef de projet ou son suppléant, joignable directement par le maître d'ouvrage via une ligne dédiée transmise au démarrage du marché.### Planning type d'une mission de MOE complètePour une opération de confortement standard (montant prévisionnel travaux entre 200 et 600 k€ HT), nous appliquons le planning type suivant :- Semaine 0 : notification du bon de commande, réunion de lancement dans les 10 jours ouvrés ;- Semaines 1 à 4 : phase DIAG (reconnaissance, programme d'investigations, investigations in situ, livraison de la note de programmation et des résultats laboratoire) ;- Semaines 5 à 10 : phase AVP (analyse structurelle, comparaison de scénarios, livrable AVP avec estimation ± 15 %) ;- Semaines 11 à 18 : phase PRO (dimensionnement définitif, plans, notes de calcul, DPGF prévisionnelle, estimation ± 5 %) ;- Semaines 19 à 24 : phase ACT (DCE travaux, analyse des offres, mise au point du marché travaux) ;- Phases EXE / VISA / DET / AOR : selon planning du chantier.Ce planning type est ajusté au cas par cas selon la complexité de l'opération et les contraintes du maître d'ouvrage. Il est validé en réunion de lancement et fait l'objet d'un suivi documenté.</w:t>
      </w:r>
    </w:p>
    <w:p>
      <w:r>
        <w:br w:type="page"/>
      </w:r>
    </w:p>
    <w:p>
      <w:pPr>
        <w:spacing w:before="0" w:after="40"/>
      </w:pPr>
      <w:r>
        <w:rPr>
          <w:rFonts w:ascii="Times New Roman" w:hAnsi="Times New Roman"/>
          <w:b/>
          <w:color w:val="1A3D6E"/>
          <w:sz w:val="56"/>
        </w:rPr>
        <w:t>12.</w:t>
      </w:r>
      <w:r>
        <w:rPr>
          <w:rFonts w:ascii="Times New Roman" w:hAnsi="Times New Roman"/>
          <w:b/>
          <w:color w:val="1A3D6E"/>
          <w:sz w:val="40"/>
        </w:rPr>
        <w:t xml:space="preserve">  Approche environnementale et RSE</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Sur les opérations de réparation et de confortement, le geste le plus vertueux écologiquement est généralement le geste le plus économe en matière neuve. Notre métier — intervenir sur l'existant plutôt que reconstruire — est par nature aligné sur cette logique. Nous formalisons toutefois trois engagements concrets pour le présent marché.</w:t>
      </w:r>
      <w:r>
        <w:rPr>
          <w:rFonts w:ascii="Times New Roman" w:hAnsi="Times New Roman"/>
          <w:b/>
          <w:sz w:val="22"/>
        </w:rPr>
        <w:t>Bilan matière simplifié au stade AVP.</w:t>
      </w:r>
      <w:r>
        <w:rPr>
          <w:rFonts w:ascii="Times New Roman" w:hAnsi="Times New Roman"/>
          <w:sz w:val="22"/>
        </w:rPr>
        <w:t xml:space="preserve"> Sur chaque opération de confortement où plusieurs scénarios sont étudiés, nous chiffrons à titre indicatif les volumes de matériaux mobilisés (béton, acier, mortier d'injection, composites carbone) et la masse de déchets de chantier prévisible. Ce bilan, fourni en annexe du rapport AVP, permet au maître d'ouvrage d'arbitrer non seulement sur le coût et la pérennité, mais aussi sur l'impact matière du choix retenu. La solution la moins matérivore compatible avec les exigences techniques est documentée comme telle.</w:t>
      </w:r>
      <w:r>
        <w:rPr>
          <w:rFonts w:ascii="Times New Roman" w:hAnsi="Times New Roman"/>
          <w:b/>
          <w:sz w:val="22"/>
        </w:rPr>
        <w:t>Privilégier les solutions réversibles ou inspectables.</w:t>
      </w:r>
      <w:r>
        <w:rPr>
          <w:rFonts w:ascii="Times New Roman" w:hAnsi="Times New Roman"/>
          <w:sz w:val="22"/>
        </w:rPr>
        <w:t xml:space="preserve"> À performance équivalente, nous orientons les solutions vers celles qui préservent la possibilité d'intervention future (renforcement par bandes carbone TFC plutôt que chemisage béton lorsque c'est techniquement justifié, drainage et traitement de la végétation plutôt que reprise lourde quand le désordre RGA reste modéré). Cette approche réduit l'empreinte matière et facilite la maintenance ultérieure.</w:t>
      </w:r>
      <w:r>
        <w:rPr>
          <w:rFonts w:ascii="Times New Roman" w:hAnsi="Times New Roman"/>
          <w:b/>
          <w:sz w:val="22"/>
        </w:rPr>
        <w:t>Valorisation des déchets de chantier.</w:t>
      </w:r>
      <w:r>
        <w:rPr>
          <w:rFonts w:ascii="Times New Roman" w:hAnsi="Times New Roman"/>
          <w:sz w:val="22"/>
        </w:rPr>
        <w:t xml:space="preserve"> En phase ACT et DET, nous travaillons avec des entreprises de travaux qui justifient d'une politique active de tri et de valorisation des déchets de chantier (référence à la filière REP PMCB pour les produits et matériaux de construction du bâtiment). Sur les opérations à enjeu, le maître d'ouvrage reçoit en fin de chantier un bordereau de suivi des déchets consolidé.</w:t>
      </w:r>
      <w:r>
        <w:rPr>
          <w:rFonts w:ascii="Times New Roman" w:hAnsi="Times New Roman"/>
          <w:b/>
          <w:sz w:val="22"/>
        </w:rPr>
        <w:t>Engagement RSE de l'entreprise.</w:t>
      </w:r>
      <w:r>
        <w:rPr>
          <w:rFonts w:ascii="Times New Roman" w:hAnsi="Times New Roman"/>
          <w:sz w:val="22"/>
        </w:rPr>
        <w:t xml:space="preserve"> </w:t>
      </w:r>
      <w:r>
        <w:rPr>
          <w:rFonts w:ascii="Times New Roman" w:hAnsi="Times New Roman"/>
          <w:b/>
          <w:sz w:val="22"/>
        </w:rPr>
        <w:t>Repair Ingénierie</w:t>
      </w:r>
      <w:r>
        <w:rPr>
          <w:rFonts w:ascii="Times New Roman" w:hAnsi="Times New Roman"/>
          <w:sz w:val="22"/>
        </w:rPr>
        <w:t xml:space="preserve"> s'inscrit dans une démarche d'amélioration continue : limitation des déplacements par mutualisation des visites de chantier sur le territoire, dématérialisation des livrables, choix de partenaires laboratoires accrédités au plus près géographiquement de l'opération. Nous communiquons annuellement à nos clients institutionnels nos indicateurs principaux (consommation kilométrique par opération, taux de dématérialisation, mixité de l'équipe).Ces engagements ne sont pas une couche cosmétique : ils découlent directement de la nature de notre métier de pathologie, qui consiste à prolonger la vie d'ouvrages existants plutôt qu'à mobiliser des ressources pour du neuf.</w:t>
      </w:r>
    </w:p>
    <w:p>
      <w:r>
        <w:br w:type="page"/>
      </w:r>
    </w:p>
    <w:p>
      <w:pPr>
        <w:spacing w:before="0" w:after="40"/>
      </w:pPr>
      <w:r>
        <w:rPr>
          <w:rFonts w:ascii="Times New Roman" w:hAnsi="Times New Roman"/>
          <w:b/>
          <w:color w:val="1A3D6E"/>
          <w:sz w:val="56"/>
        </w:rPr>
        <w:t>13.</w:t>
      </w:r>
      <w:r>
        <w:rPr>
          <w:rFonts w:ascii="Times New Roman" w:hAnsi="Times New Roman"/>
          <w:b/>
          <w:color w:val="1A3D6E"/>
          <w:sz w:val="40"/>
        </w:rPr>
        <w:t xml:space="preserve">  Sécurité et prévention des risques</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La sécurité est traitée à deux niveaux : la sécurité de nos propres intervenants lors des phases d'investigation, et la prise en compte de la sécurité des futurs intervenants au stade conception.</w:t>
      </w:r>
      <w:r>
        <w:rPr>
          <w:rFonts w:ascii="Times New Roman" w:hAnsi="Times New Roman"/>
          <w:b/>
          <w:sz w:val="22"/>
        </w:rPr>
        <w:t>Sécurité des investigations.</w:t>
      </w:r>
      <w:r>
        <w:rPr>
          <w:rFonts w:ascii="Times New Roman" w:hAnsi="Times New Roman"/>
          <w:sz w:val="22"/>
        </w:rPr>
        <w:t xml:space="preserve"> Toute intervention sur site fait l'objet d'une analyse de risques préalable formalisée dans une fiche d'intervention partagée avec </w:t>
      </w:r>
      <w:r>
        <w:rPr>
          <w:rFonts w:ascii="Times New Roman" w:hAnsi="Times New Roman"/>
          <w:b/>
          <w:sz w:val="22"/>
        </w:rPr>
        <w:t>l'OPH des Vallées de l'Isère</w:t>
      </w:r>
      <w:r>
        <w:rPr>
          <w:rFonts w:ascii="Times New Roman" w:hAnsi="Times New Roman"/>
          <w:sz w:val="22"/>
        </w:rPr>
        <w:t>. Les risques systématiquement évalués sont : risque de chute de hauteur (interventions en façade, en toiture, en cage d'escalier), risque électrique (proximité de gaines techniques), risque chimique (poussières de béton ou de maçonnerie, présomption d'amiante ou de plomb sur ouvrage antérieur à 1997), risque mécanique (manipulation de carotteuse, scies). Nos intervenants disposent des EPI adaptés et de formations actualisées (habilitation électrique, formation à la sous-section 4 amiante pour les opérations qui le nécessitent, attestations travail en hauteur).</w:t>
      </w:r>
      <w:r>
        <w:rPr>
          <w:rFonts w:ascii="Times New Roman" w:hAnsi="Times New Roman"/>
          <w:b/>
          <w:sz w:val="22"/>
        </w:rPr>
        <w:t>Coordination amiante / plomb.</w:t>
      </w:r>
      <w:r>
        <w:rPr>
          <w:rFonts w:ascii="Times New Roman" w:hAnsi="Times New Roman"/>
          <w:sz w:val="22"/>
        </w:rPr>
        <w:t xml:space="preserve"> Sur le patrimoine antérieur à 1997, nous prenons connaissance avant toute intervention destructive du </w:t>
      </w:r>
      <w:r>
        <w:rPr>
          <w:rFonts w:ascii="Times New Roman" w:hAnsi="Times New Roman"/>
          <w:b/>
          <w:sz w:val="22"/>
        </w:rPr>
        <w:t>Dossier Technique Amiante</w:t>
      </w:r>
      <w:r>
        <w:rPr>
          <w:rFonts w:ascii="Times New Roman" w:hAnsi="Times New Roman"/>
          <w:sz w:val="22"/>
        </w:rPr>
        <w:t xml:space="preserve"> mis à disposition par le maître d'ouvrage. En cas de doute sur la présence de matériaux amiantés susceptibles d'être impactés par l'investigation, nous interrompons l'intervention et alertons le maître d'ouvrage. Pour les bâtiments antérieurs à 1949, le </w:t>
      </w:r>
      <w:r>
        <w:rPr>
          <w:rFonts w:ascii="Times New Roman" w:hAnsi="Times New Roman"/>
          <w:b/>
          <w:sz w:val="22"/>
        </w:rPr>
        <w:t>Constat de Risque d'Exposition au Plomb</w:t>
      </w:r>
      <w:r>
        <w:rPr>
          <w:rFonts w:ascii="Times New Roman" w:hAnsi="Times New Roman"/>
          <w:sz w:val="22"/>
        </w:rPr>
        <w:t xml:space="preserve"> est consulté en parallèle. Les analyses laboratoire éventuelles sont réalisées par un laboratoire </w:t>
      </w:r>
      <w:r>
        <w:rPr>
          <w:rFonts w:ascii="Times New Roman" w:hAnsi="Times New Roman"/>
          <w:b/>
          <w:sz w:val="22"/>
        </w:rPr>
        <w:t>accrédité COFRAC</w:t>
      </w:r>
      <w:r>
        <w:rPr>
          <w:rFonts w:ascii="Times New Roman" w:hAnsi="Times New Roman"/>
          <w:sz w:val="22"/>
        </w:rPr>
        <w:t>.</w:t>
      </w:r>
      <w:r>
        <w:rPr>
          <w:rFonts w:ascii="Times New Roman" w:hAnsi="Times New Roman"/>
          <w:b/>
          <w:sz w:val="22"/>
        </w:rPr>
        <w:t>Sécurité au stade conception.</w:t>
      </w:r>
      <w:r>
        <w:rPr>
          <w:rFonts w:ascii="Times New Roman" w:hAnsi="Times New Roman"/>
          <w:sz w:val="22"/>
        </w:rPr>
        <w:t xml:space="preserve"> Au stade PRO, nous fournissons à l'entreprise pressentie pour les travaux les éléments nécessaires à la rédaction de son </w:t>
      </w:r>
      <w:r>
        <w:rPr>
          <w:rFonts w:ascii="Times New Roman" w:hAnsi="Times New Roman"/>
          <w:b/>
          <w:sz w:val="22"/>
        </w:rPr>
        <w:t>PPSPS</w:t>
      </w:r>
      <w:r>
        <w:rPr>
          <w:rFonts w:ascii="Times New Roman" w:hAnsi="Times New Roman"/>
          <w:sz w:val="22"/>
        </w:rPr>
        <w:t xml:space="preserve">, notamment : identification des risques liés aux interventions en site occupé, contraintes d'accès et de circulation, points particuliers de coordination avec les locataires ou usagers, repérage des réseaux à proximité. Nous nous coordonnons avec le </w:t>
      </w:r>
      <w:r>
        <w:rPr>
          <w:rFonts w:ascii="Times New Roman" w:hAnsi="Times New Roman"/>
          <w:b/>
          <w:sz w:val="22"/>
        </w:rPr>
        <w:t>coordinateur SPS</w:t>
      </w:r>
      <w:r>
        <w:rPr>
          <w:rFonts w:ascii="Times New Roman" w:hAnsi="Times New Roman"/>
          <w:sz w:val="22"/>
        </w:rPr>
        <w:t xml:space="preserve"> désigné par le maître d'ouvrage dès la phase ACT.</w:t>
      </w:r>
      <w:r>
        <w:rPr>
          <w:rFonts w:ascii="Times New Roman" w:hAnsi="Times New Roman"/>
          <w:b/>
          <w:sz w:val="22"/>
        </w:rPr>
        <w:t>Protocole d'intervention en logement.</w:t>
      </w:r>
      <w:r>
        <w:rPr>
          <w:rFonts w:ascii="Times New Roman" w:hAnsi="Times New Roman"/>
          <w:sz w:val="22"/>
        </w:rPr>
        <w:t xml:space="preserve"> En partie privative occupée, le protocole d'intervention prévoit : information préalable du locataire (15 jours), protection systématique du logement (bâche poussières, protection des sols et meubles, balisage), rebouchage soigné dans la même séance, remise en état esthétique compatible avec l'usage, prise en charge des éventuels dommages causés au logement ou à ses occupants au-delà des dégradations strictement nécessaires.</w:t>
      </w:r>
      <w:r>
        <w:rPr>
          <w:rFonts w:ascii="Times New Roman" w:hAnsi="Times New Roman"/>
          <w:b/>
          <w:sz w:val="22"/>
        </w:rPr>
        <w:t>Retour d'expérience sécurité.</w:t>
      </w:r>
      <w:r>
        <w:rPr>
          <w:rFonts w:ascii="Times New Roman" w:hAnsi="Times New Roman"/>
          <w:sz w:val="22"/>
        </w:rPr>
        <w:t xml:space="preserve"> Les incidents et les presque-accidents survenus sur nos chantiers sont consolidés trimestriellement et alimentent la mise à jour de nos fiches d'intervention type. Aucun accident grave n'est à déplorer sur les cinq dernières années.</w:t>
      </w:r>
    </w:p>
    <w:p>
      <w:r>
        <w:br w:type="page"/>
      </w:r>
    </w:p>
    <w:p>
      <w:pPr>
        <w:spacing w:before="0" w:after="40"/>
      </w:pPr>
      <w:r>
        <w:rPr>
          <w:rFonts w:ascii="Times New Roman" w:hAnsi="Times New Roman"/>
          <w:b/>
          <w:color w:val="1A3D6E"/>
          <w:sz w:val="56"/>
        </w:rPr>
        <w:t>14.</w:t>
      </w:r>
      <w:r>
        <w:rPr>
          <w:rFonts w:ascii="Times New Roman" w:hAnsi="Times New Roman"/>
          <w:b/>
          <w:color w:val="1A3D6E"/>
          <w:sz w:val="40"/>
        </w:rPr>
        <w:t xml:space="preserve">  Continuité de service sur la durée du marché</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La durée de plusieurs années des marchés à bons de commande, ou la durée d'exécution étendue des opérations de maîtrise d'œuvre complète, expose le maître d'ouvrage à un risque de discontinuité du prestataire — départ d'un référent, surcharge ponctuelle, perte de connaissance du dossier. Nous formalisons quatre engagements pour neutraliser ce risque.</w:t>
      </w:r>
      <w:r>
        <w:rPr>
          <w:rFonts w:ascii="Times New Roman" w:hAnsi="Times New Roman"/>
          <w:b/>
          <w:sz w:val="22"/>
        </w:rPr>
        <w:t>Doublon documenté sur le chef de projet.</w:t>
      </w:r>
      <w:r>
        <w:rPr>
          <w:rFonts w:ascii="Times New Roman" w:hAnsi="Times New Roman"/>
          <w:sz w:val="22"/>
        </w:rPr>
        <w:t xml:space="preserve"> Le chef de projet désigné dans notre offre est suppléé par un second ingénieur structures du même niveau d'expérience, dûment habilité à intervenir en lieu et place du chef de projet en cas d'indisponibilité. Le suppléant est tenu informé de l'avancement de chaque dossier en cours et peut prendre la main sans délai. Tout changement définitif d'affectation du chef de projet est soumis à l'accord préalable du maître d'ouvrage.</w:t>
      </w:r>
      <w:r>
        <w:rPr>
          <w:rFonts w:ascii="Times New Roman" w:hAnsi="Times New Roman"/>
          <w:b/>
          <w:sz w:val="22"/>
        </w:rPr>
        <w:t>Référentiel projet partagé.</w:t>
      </w:r>
      <w:r>
        <w:rPr>
          <w:rFonts w:ascii="Times New Roman" w:hAnsi="Times New Roman"/>
          <w:sz w:val="22"/>
        </w:rPr>
        <w:t xml:space="preserve"> Pour chaque opération sous bon de commande ou pour chaque phase de mission MOE, nous tenons un référentiel projet centralisé (compte rendu de visite, programme d'investigations, données brutes des relevés, modèles de calcul, livrables) accessible à l'équipe interne. Ce dispositif garantit qu'aucune connaissance critique n'est concentrée sur une seule personne et facilite la prise de relais en cas de besoin.</w:t>
      </w:r>
      <w:r>
        <w:rPr>
          <w:rFonts w:ascii="Times New Roman" w:hAnsi="Times New Roman"/>
          <w:b/>
          <w:sz w:val="22"/>
        </w:rPr>
        <w:t>Plan de charge prévisionnel.</w:t>
      </w:r>
      <w:r>
        <w:rPr>
          <w:rFonts w:ascii="Times New Roman" w:hAnsi="Times New Roman"/>
          <w:sz w:val="22"/>
        </w:rPr>
        <w:t xml:space="preserve"> Nous tenons un plan de charge prévisionnel sur trois mois glissants, qui anticipe les pics d'activité du maître d'ouvrage (typiquement après les épisodes de sécheresse pour la pathologie RGA, ou en début d'exercice budgétaire pour les programmations de confortement). Cette anticipation nous permet de garantir nos engagements de réactivité même en période de forte sollicitation, et d'alerter le maître d'ouvrage sur d'éventuels risques de saturation suffisamment en amont.</w:t>
      </w:r>
      <w:r>
        <w:rPr>
          <w:rFonts w:ascii="Times New Roman" w:hAnsi="Times New Roman"/>
          <w:b/>
          <w:sz w:val="22"/>
        </w:rPr>
        <w:t>Reporting trimestriel au maître d'ouvrage.</w:t>
      </w:r>
      <w:r>
        <w:rPr>
          <w:rFonts w:ascii="Times New Roman" w:hAnsi="Times New Roman"/>
          <w:sz w:val="22"/>
        </w:rPr>
        <w:t xml:space="preserve"> </w:t>
      </w:r>
      <w:r>
        <w:rPr>
          <w:rFonts w:ascii="Times New Roman" w:hAnsi="Times New Roman"/>
          <w:b/>
          <w:sz w:val="22"/>
        </w:rPr>
        <w:t>Repair Ingénierie</w:t>
      </w:r>
      <w:r>
        <w:rPr>
          <w:rFonts w:ascii="Times New Roman" w:hAnsi="Times New Roman"/>
          <w:sz w:val="22"/>
        </w:rPr>
        <w:t xml:space="preserve"> transmet au maître d'ouvrage un tableau de bord trimestriel récapitulant : état d'avancement de chaque bon de commande ou phase MOE en cours, alertes éventuelles, charge prévisionnelle des trois prochains mois, retours d'expérience marquants. Ce reporting alimente la programmation patrimoniale et facilite les arbitrages d'opportunité au sein du marché.</w:t>
      </w:r>
      <w:r>
        <w:rPr>
          <w:rFonts w:ascii="Times New Roman" w:hAnsi="Times New Roman"/>
          <w:b/>
          <w:sz w:val="22"/>
        </w:rPr>
        <w:t>Bilan annuel.</w:t>
      </w:r>
      <w:r>
        <w:rPr>
          <w:rFonts w:ascii="Times New Roman" w:hAnsi="Times New Roman"/>
          <w:sz w:val="22"/>
        </w:rPr>
        <w:t xml:space="preserve"> À chaque date anniversaire du marché, un bilan annuel est proposé au maître d'ouvrage : volume effectivement commandé, retours d'expérience consolidés sur les opérations achevées, points d'attention identifiés sur le patrimoine, suggestions d'évolution. Ce bilan, rédigé en moins d'une demi-journée et tenant en cinq pages, est un livrable de fin d'année que nous offrons au maître d'ouvrage hors marché.</w:t>
      </w:r>
    </w:p>
    <w:p>
      <w:r>
        <w:br w:type="page"/>
      </w:r>
    </w:p>
    <w:p>
      <w:pPr>
        <w:spacing w:before="0" w:after="40"/>
      </w:pPr>
      <w:r>
        <w:rPr>
          <w:rFonts w:ascii="Times New Roman" w:hAnsi="Times New Roman"/>
          <w:b/>
          <w:color w:val="1A3D6E"/>
          <w:sz w:val="56"/>
        </w:rPr>
        <w:t>15.</w:t>
      </w:r>
      <w:r>
        <w:rPr>
          <w:rFonts w:ascii="Times New Roman" w:hAnsi="Times New Roman"/>
          <w:b/>
          <w:color w:val="1A3D6E"/>
          <w:sz w:val="40"/>
        </w:rPr>
        <w:t xml:space="preserve">  Connaissance du territoire et des acteurs locaux</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Au-delà de l'expertise technique pure, intervenir sur un patrimoine dans la durée bénéficie de la connaissance de son territoire — son contexte géologique, ses pathologies récurrentes, ses entreprises de travaux, ses laboratoires partenaires.</w:t>
      </w:r>
      <w:r>
        <w:rPr>
          <w:rFonts w:ascii="Times New Roman" w:hAnsi="Times New Roman"/>
          <w:b/>
          <w:sz w:val="22"/>
        </w:rPr>
        <w:t>Connaissance géologique et hydrologique du secteur.</w:t>
      </w:r>
      <w:r>
        <w:rPr>
          <w:rFonts w:ascii="Times New Roman" w:hAnsi="Times New Roman"/>
          <w:sz w:val="22"/>
        </w:rPr>
        <w:t xml:space="preserve"> </w:t>
      </w:r>
      <w:r>
        <w:rPr>
          <w:rFonts w:ascii="Times New Roman" w:hAnsi="Times New Roman"/>
          <w:b/>
          <w:sz w:val="22"/>
        </w:rPr>
        <w:t>le département de l'Isère</w:t>
      </w:r>
      <w:r>
        <w:rPr>
          <w:rFonts w:ascii="Times New Roman" w:hAnsi="Times New Roman"/>
          <w:sz w:val="22"/>
        </w:rPr>
        <w:t xml:space="preserve"> présente des spécificités structurantes pour notre métier : aléa retrait-gonflement des argiles bien cartographié par le BRGM avec des poches localisées d'aléa fort, présence de formations alluvionnaires et de remblais anciens dans certaines zones, sensibilité particulière de plusieurs communes aux mouvements de terrain. Nous disposons d'une base de retours d'expérience consolidée sur le territoire qui nous permet d'orienter nos hypothèses de diagnostic dès la phase de reconnaissance, ce qui se traduit par des programmes d'investigations mieux ciblés et plus économes.</w:t>
      </w:r>
      <w:r>
        <w:rPr>
          <w:rFonts w:ascii="Times New Roman" w:hAnsi="Times New Roman"/>
          <w:b/>
          <w:sz w:val="22"/>
        </w:rPr>
        <w:t>Réseau de partenaires laboratoires.</w:t>
      </w:r>
      <w:r>
        <w:rPr>
          <w:rFonts w:ascii="Times New Roman" w:hAnsi="Times New Roman"/>
          <w:sz w:val="22"/>
        </w:rPr>
        <w:t xml:space="preserve"> Nous travaillons régulièrement avec les laboratoires reconnus implantés sur le secteur (Fondasol, Hydrogéotechnique, Fugro France ou équivalents pour la géotechnique ; laboratoires accrédités COFRAC pour les analyses matériaux). Cette proximité géographique permet des délais d'intervention courts pour les sondages et essais, et une connaissance partagée des particularités locales (typologies de sols, pratiques constructives historiques sur le territoire).</w:t>
      </w:r>
      <w:r>
        <w:rPr>
          <w:rFonts w:ascii="Times New Roman" w:hAnsi="Times New Roman"/>
          <w:b/>
          <w:sz w:val="22"/>
        </w:rPr>
        <w:t>Connaissance des entreprises de travaux du secteur.</w:t>
      </w:r>
      <w:r>
        <w:rPr>
          <w:rFonts w:ascii="Times New Roman" w:hAnsi="Times New Roman"/>
          <w:sz w:val="22"/>
        </w:rPr>
        <w:t xml:space="preserve"> Sur les opérations en phase ACT et DET, notre connaissance du tissu d'entreprises de travaux spécialisées (reprise en sous-œuvre, consolidation, traitement RGA, intervention sur ouvrages anciens) bénéficie au maître d'ouvrage : analyse pertinente des offres, anticipation des points de vigilance d'exécution, qualité du dialogue avec les entreprises pressenties. Notre filiale travaux apporte un éclairage complémentaire sur les coûts réels d'exécution et la faisabilité des solutions étudiées.</w:t>
      </w:r>
      <w:r>
        <w:rPr>
          <w:rFonts w:ascii="Times New Roman" w:hAnsi="Times New Roman"/>
          <w:b/>
          <w:sz w:val="22"/>
        </w:rPr>
        <w:t>Connaissance du patrimoine de l'OPH des Vallées de l'Isère.</w:t>
      </w:r>
      <w:r>
        <w:rPr>
          <w:rFonts w:ascii="Times New Roman" w:hAnsi="Times New Roman"/>
          <w:sz w:val="22"/>
        </w:rPr>
        <w:t xml:space="preserve"> Sans avoir nécessairement opéré directement pour cet acheteur, nous intervenons régulièrement sur des patrimoines comparables sur le territoire — mêmes typologies constructives, mêmes périodes de construction, mêmes modes de gestion. Cette familiarité avec le contexte facilite l'adoption rapide des conventions et des attentes du maître d'ouvrage et raccourcit la phase d'acculturation au démarrage du marché.</w:t>
      </w:r>
      <w:r>
        <w:rPr>
          <w:rFonts w:ascii="Times New Roman" w:hAnsi="Times New Roman"/>
          <w:b/>
          <w:sz w:val="22"/>
        </w:rPr>
        <w:t>Engagement de proximité.</w:t>
      </w:r>
      <w:r>
        <w:rPr>
          <w:rFonts w:ascii="Times New Roman" w:hAnsi="Times New Roman"/>
          <w:sz w:val="22"/>
        </w:rPr>
        <w:t xml:space="preserve"> Notre implantation territoriale est pérenne. Nous sommes en mesure d'organiser une visite de courtoisie ou une réunion d'arbitrage en présentiel à demande, ce qui reste précieux sur les opérations à enjeu où la décision se construit dans l'échange direct.</w:t>
      </w:r>
    </w:p>
    <w:p>
      <w:r>
        <w:br w:type="page"/>
      </w:r>
    </w:p>
    <w:p>
      <w:pPr>
        <w:spacing w:before="0" w:after="40"/>
      </w:pPr>
      <w:r>
        <w:rPr>
          <w:rFonts w:ascii="Times New Roman" w:hAnsi="Times New Roman"/>
          <w:b/>
          <w:color w:val="1A3D6E"/>
          <w:sz w:val="56"/>
        </w:rPr>
        <w:t>16.</w:t>
      </w:r>
      <w:r>
        <w:rPr>
          <w:rFonts w:ascii="Times New Roman" w:hAnsi="Times New Roman"/>
          <w:b/>
          <w:color w:val="1A3D6E"/>
          <w:sz w:val="40"/>
        </w:rPr>
        <w:t xml:space="preserve">  Moyens</w:t>
      </w:r>
    </w:p>
    <w:p>
      <w:pPr>
        <w:spacing w:after="120"/>
      </w:pPr>
      <w:r>
        <w:rPr>
          <w:rFonts w:ascii="Times New Roman" w:hAnsi="Times New Roman"/>
          <w:i/>
          <w:color w:val="666666"/>
          <w:sz w:val="26"/>
        </w:rPr>
        <w:t>Moyens matériels et techniques</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Au-delà des compétences humaines, la qualité d'un diagnostic et d'une mission de maîtrise d'œuvre de confortement repose sur le matériel mobilisé et la maîtrise des outils numériques. Nous détaillons ci-dessous nos moyens, organisés par usage.### Logiciels de calcul et de modélisation</w:t>
      </w:r>
      <w:r>
        <w:rPr>
          <w:rFonts w:ascii="Times New Roman" w:hAnsi="Times New Roman"/>
          <w:b/>
          <w:sz w:val="22"/>
        </w:rPr>
        <w:t>Repair Ingénierie</w:t>
      </w:r>
      <w:r>
        <w:rPr>
          <w:rFonts w:ascii="Times New Roman" w:hAnsi="Times New Roman"/>
          <w:sz w:val="22"/>
        </w:rPr>
        <w:t xml:space="preserve"> dispose des licences professionnelles suivantes pour ses études de structures et son analyse rétroactive d'ouvrages existants : </w:t>
      </w:r>
      <w:r>
        <w:rPr>
          <w:rFonts w:ascii="Times New Roman" w:hAnsi="Times New Roman"/>
          <w:b/>
          <w:sz w:val="22"/>
        </w:rPr>
        <w:t>Robot Structural Analysis et Advance Design</w:t>
      </w:r>
      <w:r>
        <w:rPr>
          <w:rFonts w:ascii="Times New Roman" w:hAnsi="Times New Roman"/>
          <w:sz w:val="22"/>
        </w:rPr>
        <w:t xml:space="preserve">. Ces outils nous permettent de mener des analyses globales aux éléments finis (ossatures, planchers à corps creux, descentes de charges sur ouvrages anciens), des vérifications par sections critiques selon les Eurocodes 0/1/2/3/5/8 ainsi que les calculs rétroactifs en règles BAEL/BA68/CB71/CM66 lorsque la nature de l'ouvrage existant le justifie. Les fichiers de modèles sont remis au maître d'ouvrage à chaque opération, ce qui permet à un tiers vérificateur de reprendre les calculs sans réapprentissage.### Matériel d'investigation in situNous mobilisons un parc d'instruments de diagnostic structurel régulièrement étalonnés et entretenus :- </w:t>
      </w:r>
      <w:r>
        <w:rPr>
          <w:rFonts w:ascii="Times New Roman" w:hAnsi="Times New Roman"/>
          <w:b/>
          <w:sz w:val="22"/>
        </w:rPr>
        <w:t>Pacomètre</w:t>
      </w:r>
      <w:r>
        <w:rPr>
          <w:rFonts w:ascii="Times New Roman" w:hAnsi="Times New Roman"/>
          <w:sz w:val="22"/>
        </w:rPr>
        <w:t xml:space="preserve"> pour le repérage des armatures (enrobage, diamètre estimé, espacement) — calibration semestrielle ;- </w:t>
      </w:r>
      <w:r>
        <w:rPr>
          <w:rFonts w:ascii="Times New Roman" w:hAnsi="Times New Roman"/>
          <w:b/>
          <w:sz w:val="22"/>
        </w:rPr>
        <w:t>Scléromètre Schmidt</w:t>
      </w:r>
      <w:r>
        <w:rPr>
          <w:rFonts w:ascii="Times New Roman" w:hAnsi="Times New Roman"/>
          <w:sz w:val="22"/>
        </w:rPr>
        <w:t xml:space="preserve"> pour les mesures indicatives de résistance à la compression — calibration trimestrielle sur enclume étalon ;- </w:t>
      </w:r>
      <w:r>
        <w:rPr>
          <w:rFonts w:ascii="Times New Roman" w:hAnsi="Times New Roman"/>
          <w:b/>
          <w:sz w:val="22"/>
        </w:rPr>
        <w:t>Appareil ultrasonique</w:t>
      </w:r>
      <w:r>
        <w:rPr>
          <w:rFonts w:ascii="Times New Roman" w:hAnsi="Times New Roman"/>
          <w:sz w:val="22"/>
        </w:rPr>
        <w:t xml:space="preserve"> pour l'auscultation de l'homogénéité du béton et la détection de discontinuités ;- </w:t>
      </w:r>
      <w:r>
        <w:rPr>
          <w:rFonts w:ascii="Times New Roman" w:hAnsi="Times New Roman"/>
          <w:b/>
          <w:sz w:val="22"/>
        </w:rPr>
        <w:t>Endoscope numérique</w:t>
      </w:r>
      <w:r>
        <w:rPr>
          <w:rFonts w:ascii="Times New Roman" w:hAnsi="Times New Roman"/>
          <w:sz w:val="22"/>
        </w:rPr>
        <w:t xml:space="preserve"> Ø 4 à 8 mm pour l'exploration de chaînages, hourdis et zones inaccessibles ;- </w:t>
      </w:r>
      <w:r>
        <w:rPr>
          <w:rFonts w:ascii="Times New Roman" w:hAnsi="Times New Roman"/>
          <w:b/>
          <w:sz w:val="22"/>
        </w:rPr>
        <w:t>Caméra thermographique infrarouge</w:t>
      </w:r>
      <w:r>
        <w:rPr>
          <w:rFonts w:ascii="Times New Roman" w:hAnsi="Times New Roman"/>
          <w:sz w:val="22"/>
        </w:rPr>
        <w:t xml:space="preserve"> pour le repérage de zones humides, ponts thermiques et anomalies de structure derrière revêtement ;- </w:t>
      </w:r>
      <w:r>
        <w:rPr>
          <w:rFonts w:ascii="Times New Roman" w:hAnsi="Times New Roman"/>
          <w:b/>
          <w:sz w:val="22"/>
        </w:rPr>
        <w:t>Carotteuse</w:t>
      </w:r>
      <w:r>
        <w:rPr>
          <w:rFonts w:ascii="Times New Roman" w:hAnsi="Times New Roman"/>
          <w:sz w:val="22"/>
        </w:rPr>
        <w:t xml:space="preserve"> Ø 75 mm pour prélèvements béton sur ouvrage en service.Le matériel est attribué à un technicien référent qui en assure le suivi métrologique. Les certificats d'étalonnage sont disponibles sur demande de la maîtrise d'ouvrage.### Instrumentation et suivi temporelPour le suivi de désordres évolutifs, nous mettons en place selon les besoins :- </w:t>
      </w:r>
      <w:r>
        <w:rPr>
          <w:rFonts w:ascii="Times New Roman" w:hAnsi="Times New Roman"/>
          <w:b/>
          <w:sz w:val="22"/>
        </w:rPr>
        <w:t>Fissuromètres mécaniques Saugnac</w:t>
      </w:r>
      <w:r>
        <w:rPr>
          <w:rFonts w:ascii="Times New Roman" w:hAnsi="Times New Roman"/>
          <w:sz w:val="22"/>
        </w:rPr>
        <w:t xml:space="preserve"> à pointes (suivi visuel mensuel) ;- </w:t>
      </w:r>
      <w:r>
        <w:rPr>
          <w:rFonts w:ascii="Times New Roman" w:hAnsi="Times New Roman"/>
          <w:b/>
          <w:sz w:val="22"/>
        </w:rPr>
        <w:t>Fissuromètres électroniques avec datalogger</w:t>
      </w:r>
      <w:r>
        <w:rPr>
          <w:rFonts w:ascii="Times New Roman" w:hAnsi="Times New Roman"/>
          <w:sz w:val="22"/>
        </w:rPr>
        <w:t xml:space="preserve"> (résolution 0,01 mm, autonomie 2 ans, télérelève) ;- </w:t>
      </w:r>
      <w:r>
        <w:rPr>
          <w:rFonts w:ascii="Times New Roman" w:hAnsi="Times New Roman"/>
          <w:b/>
          <w:sz w:val="22"/>
        </w:rPr>
        <w:t>Capteurs de température et d'humidité</w:t>
      </w:r>
      <w:r>
        <w:rPr>
          <w:rFonts w:ascii="Times New Roman" w:hAnsi="Times New Roman"/>
          <w:sz w:val="22"/>
        </w:rPr>
        <w:t xml:space="preserve"> dans la zone d'influence pour les pathologies climato-dépendantes (RGA notamment) ;- </w:t>
      </w:r>
      <w:r>
        <w:rPr>
          <w:rFonts w:ascii="Times New Roman" w:hAnsi="Times New Roman"/>
          <w:b/>
          <w:sz w:val="22"/>
        </w:rPr>
        <w:t>Cibles topographiques</w:t>
      </w:r>
      <w:r>
        <w:rPr>
          <w:rFonts w:ascii="Times New Roman" w:hAnsi="Times New Roman"/>
          <w:sz w:val="22"/>
        </w:rPr>
        <w:t xml:space="preserve"> pour relevés par station totale en cas de présomption de mouvement d'ensemble.Le rapport de fin de période d'instrumentation présente la cinétique observée et conclut sur l'évolutivité ou la stabilisation des désordres — élément déterminant pour la décision d'intervention.### Partenariats laboratoires accréditésNos prestations d'investigations s'appuient sur un réseau de </w:t>
      </w:r>
      <w:r>
        <w:rPr>
          <w:rFonts w:ascii="Times New Roman" w:hAnsi="Times New Roman"/>
          <w:b/>
          <w:sz w:val="22"/>
        </w:rPr>
        <w:t>laboratoires partenaires accrédités COFRAC</w:t>
      </w:r>
      <w:r>
        <w:rPr>
          <w:rFonts w:ascii="Times New Roman" w:hAnsi="Times New Roman"/>
          <w:sz w:val="22"/>
        </w:rPr>
        <w:t xml:space="preserve"> pour les essais sur matériaux (compression, carbonatation, analyses chimiques béton et acier) et sur des </w:t>
      </w:r>
      <w:r>
        <w:rPr>
          <w:rFonts w:ascii="Times New Roman" w:hAnsi="Times New Roman"/>
          <w:b/>
          <w:sz w:val="22"/>
        </w:rPr>
        <w:t>bureaux géotechniques reconnus</w:t>
      </w:r>
      <w:r>
        <w:rPr>
          <w:rFonts w:ascii="Times New Roman" w:hAnsi="Times New Roman"/>
          <w:sz w:val="22"/>
        </w:rPr>
        <w:t xml:space="preserve"> (Fondasol, Hydrogéotechnique, Fugro France ou équivalents) pour les missions G2 AVP / G2 PRO selon la norme NF P 94-500. Le périmètre, le délai et le budget de chaque sous-traitance laboratoire sont validés par le maître d'ouvrage avant lancement.### Outils numériques de production et de diffusion- </w:t>
      </w:r>
      <w:r>
        <w:rPr>
          <w:rFonts w:ascii="Times New Roman" w:hAnsi="Times New Roman"/>
          <w:b/>
          <w:sz w:val="22"/>
        </w:rPr>
        <w:t>Production graphique</w:t>
      </w:r>
      <w:r>
        <w:rPr>
          <w:rFonts w:ascii="Times New Roman" w:hAnsi="Times New Roman"/>
          <w:sz w:val="22"/>
        </w:rPr>
        <w:t xml:space="preserve"> : AutoCAD 2024 et Revit (production BIM lorsque le maître d'ouvrage l'exige), avec convention de calques transmise au démarrage et appliquée de manière homogène sur l'ensemble des opérations du marché.- </w:t>
      </w:r>
      <w:r>
        <w:rPr>
          <w:rFonts w:ascii="Times New Roman" w:hAnsi="Times New Roman"/>
          <w:b/>
          <w:sz w:val="22"/>
        </w:rPr>
        <w:t>Pilotage projet</w:t>
      </w:r>
      <w:r>
        <w:rPr>
          <w:rFonts w:ascii="Times New Roman" w:hAnsi="Times New Roman"/>
          <w:sz w:val="22"/>
        </w:rPr>
        <w:t xml:space="preserve"> : suite collaborative interne pour le partage des dossiers, la traçabilité des versions et la coordination de l'équipe sur les opérations en parallèle.- </w:t>
      </w:r>
      <w:r>
        <w:rPr>
          <w:rFonts w:ascii="Times New Roman" w:hAnsi="Times New Roman"/>
          <w:b/>
          <w:sz w:val="22"/>
        </w:rPr>
        <w:t>Reporting</w:t>
      </w:r>
      <w:r>
        <w:rPr>
          <w:rFonts w:ascii="Times New Roman" w:hAnsi="Times New Roman"/>
          <w:sz w:val="22"/>
        </w:rPr>
        <w:t xml:space="preserve"> : tableaux de bord trimestriels remis au maître d'ouvrage (état des opérations, charge prévisionnelle, retours d'expérience).</w:t>
      </w:r>
    </w:p>
    <w:p>
      <w:r>
        <w:br w:type="page"/>
      </w:r>
    </w:p>
    <w:p>
      <w:pPr>
        <w:spacing w:before="0" w:after="40"/>
      </w:pPr>
      <w:r>
        <w:rPr>
          <w:rFonts w:ascii="Times New Roman" w:hAnsi="Times New Roman"/>
          <w:b/>
          <w:color w:val="1A3D6E"/>
          <w:sz w:val="56"/>
        </w:rPr>
        <w:t>17.</w:t>
      </w:r>
      <w:r>
        <w:rPr>
          <w:rFonts w:ascii="Times New Roman" w:hAnsi="Times New Roman"/>
          <w:b/>
          <w:color w:val="1A3D6E"/>
          <w:sz w:val="40"/>
        </w:rPr>
        <w:t xml:space="preserve">  Gestion des risques projet</w:t>
      </w:r>
    </w:p>
    <w:p>
      <w:pPr>
        <w:jc w:val="center"/>
        <w:pBdr>
          <w:bottom w:val="single" w:sz="8" w:space="1" w:color="1A3D6E"/>
        </w:pBdr>
      </w:pPr>
      <w:r>
        <w:rPr>
          <w:sz w:val="2"/>
        </w:rPr>
        <w:t xml:space="preserve"> </w:t>
      </w:r>
    </w:p>
    <w:p/>
    <w:p>
      <w:pPr>
        <w:spacing w:after="160"/>
        <w:ind w:firstLine="0"/>
        <w:jc w:val="both"/>
      </w:pPr>
      <w:r>
        <w:rPr>
          <w:rFonts w:ascii="Times New Roman" w:hAnsi="Times New Roman"/>
          <w:sz w:val="22"/>
        </w:rPr>
        <w:t xml:space="preserve">Anticiper les aléas d'une mission est l'une des marques d'un BET expérimenté. Nous identifions ici les principaux risques que nous avons appris à anticiper sur ce type de marché, et les mesures concrètes que nous mettons en œuvre pour les neutraliser ou en limiter l'impact.| Risque identifié | Probabilité | Impact | Mesure de mitigation ||---|---|---|---|| </w:t>
      </w:r>
      <w:r>
        <w:rPr>
          <w:rFonts w:ascii="Times New Roman" w:hAnsi="Times New Roman"/>
          <w:b/>
          <w:sz w:val="22"/>
        </w:rPr>
        <w:t>Délais d'analyses laboratoire</w:t>
      </w:r>
      <w:r>
        <w:rPr>
          <w:rFonts w:ascii="Times New Roman" w:hAnsi="Times New Roman"/>
          <w:sz w:val="22"/>
        </w:rPr>
        <w:t xml:space="preserve"> plus longs qu'attendu (matériaux ou géotechnique) | Moyen | +1 à 3 semaines sur la phase DIAG | Réseau de laboratoires partenaires bascule possible · Provisionnement de marge dans le planning AVP · Communication anticipée au maître d'ouvrage || </w:t>
      </w:r>
      <w:r>
        <w:rPr>
          <w:rFonts w:ascii="Times New Roman" w:hAnsi="Times New Roman"/>
          <w:b/>
          <w:sz w:val="22"/>
        </w:rPr>
        <w:t>Découverte d'un désordre non identifié</w:t>
      </w:r>
      <w:r>
        <w:rPr>
          <w:rFonts w:ascii="Times New Roman" w:hAnsi="Times New Roman"/>
          <w:sz w:val="22"/>
        </w:rPr>
        <w:t xml:space="preserve"> lors des investigations destructives | Moyen | Surcoût d'investigation, ajustement du diagnostic | Pré-validation du programme d'investigations · Cadrage du périmètre de l'avenant éventuel avant intervention · Information immédiate du maître d'ouvrage || </w:t>
      </w:r>
      <w:r>
        <w:rPr>
          <w:rFonts w:ascii="Times New Roman" w:hAnsi="Times New Roman"/>
          <w:b/>
          <w:sz w:val="22"/>
        </w:rPr>
        <w:t>Accès au site retardé ou refusé</w:t>
      </w:r>
      <w:r>
        <w:rPr>
          <w:rFonts w:ascii="Times New Roman" w:hAnsi="Times New Roman"/>
          <w:sz w:val="22"/>
        </w:rPr>
        <w:t xml:space="preserve"> par les locataires ou occupants | Moyen | +1 à 2 semaines | Préavis 15 jours systématique · Coordination via gardien/agent de proximité · Replanification avec créneaux alternatifs || </w:t>
      </w:r>
      <w:r>
        <w:rPr>
          <w:rFonts w:ascii="Times New Roman" w:hAnsi="Times New Roman"/>
          <w:b/>
          <w:sz w:val="22"/>
        </w:rPr>
        <w:t>Présence d'amiante</w:t>
      </w:r>
      <w:r>
        <w:rPr>
          <w:rFonts w:ascii="Times New Roman" w:hAnsi="Times New Roman"/>
          <w:sz w:val="22"/>
        </w:rPr>
        <w:t xml:space="preserve"> confirmée lors d'une investigation destructive imprévue | Faible à moyen sur patrimoine antérieur à 1997 | Interruption immédiate, protocole spécifique | Consultation préalable du DTA · Habilitation sous-section 4 de nos intervenants · Protocole d'arrêt et d'alerte documenté || </w:t>
      </w:r>
      <w:r>
        <w:rPr>
          <w:rFonts w:ascii="Times New Roman" w:hAnsi="Times New Roman"/>
          <w:b/>
          <w:sz w:val="22"/>
        </w:rPr>
        <w:t>Évolution rapide d'un désordre</w:t>
      </w:r>
      <w:r>
        <w:rPr>
          <w:rFonts w:ascii="Times New Roman" w:hAnsi="Times New Roman"/>
          <w:sz w:val="22"/>
        </w:rPr>
        <w:t xml:space="preserve"> entre le diagnostic et le démarrage des travaux | Faible | Recalibrage de la solution PRO | Instrumentation systématique sur désordres évolutifs · Réunion technique de validation au stade ACT || </w:t>
      </w:r>
      <w:r>
        <w:rPr>
          <w:rFonts w:ascii="Times New Roman" w:hAnsi="Times New Roman"/>
          <w:b/>
          <w:sz w:val="22"/>
        </w:rPr>
        <w:t>Indisponibilité du chef de projet</w:t>
      </w:r>
      <w:r>
        <w:rPr>
          <w:rFonts w:ascii="Times New Roman" w:hAnsi="Times New Roman"/>
          <w:sz w:val="22"/>
        </w:rPr>
        <w:t xml:space="preserve"> (maladie, congés, départ) | Faible | Continuité de service | Suppléant désigné, dûment briefé sur le dossier · Référentiel projet partagé · Plan de charge de l'équipe en réserve || </w:t>
      </w:r>
      <w:r>
        <w:rPr>
          <w:rFonts w:ascii="Times New Roman" w:hAnsi="Times New Roman"/>
          <w:b/>
          <w:sz w:val="22"/>
        </w:rPr>
        <w:t>Contestation d'une préconisation</w:t>
      </w:r>
      <w:r>
        <w:rPr>
          <w:rFonts w:ascii="Times New Roman" w:hAnsi="Times New Roman"/>
          <w:sz w:val="22"/>
        </w:rPr>
        <w:t xml:space="preserve"> par un tiers (expert d'assurance, autre BET) | Faible | Perte de temps en concertation | Note d'hypothèses systématiquement documentée · Capacité de défense argumentée des choix techniques |</w:t>
      </w:r>
      <w:r>
        <w:rPr>
          <w:rFonts w:ascii="Times New Roman" w:hAnsi="Times New Roman"/>
          <w:b/>
          <w:sz w:val="22"/>
        </w:rPr>
        <w:t>Pilotage des risques.</w:t>
      </w:r>
      <w:r>
        <w:rPr>
          <w:rFonts w:ascii="Times New Roman" w:hAnsi="Times New Roman"/>
          <w:sz w:val="22"/>
        </w:rPr>
        <w:t xml:space="preserve"> Sur chaque opération significative, le chef de projet établit en lancement la liste des risques pertinents, les seuils d'alerte et les responsables de mitigation, et la met à jour à chaque réunion de phase. Le maître d'ouvrage est destinataire de cette analyse et est informé sans délai dès qu'un risque s'actualise. </w:t>
      </w:r>
      <w:r>
        <w:rPr>
          <w:rFonts w:ascii="Times New Roman" w:hAnsi="Times New Roman"/>
          <w:b/>
          <w:sz w:val="22"/>
        </w:rPr>
        <w:t>Repair Ingénierie</w:t>
      </w:r>
      <w:r>
        <w:rPr>
          <w:rFonts w:ascii="Times New Roman" w:hAnsi="Times New Roman"/>
          <w:sz w:val="22"/>
        </w:rPr>
        <w:t xml:space="preserve"> ne pratique pas la dissimulation d'aléa : nous considérons que la transparence sur les risques fait partie intégrante de la prestation intellectuelle qui nous est confiée.</w:t>
      </w:r>
    </w:p>
    <w:sectPr w:rsidR="00FC693F" w:rsidRPr="0006063C" w:rsidSect="00034616">
      <w:headerReference w:type="default" r:id="rId9"/>
      <w:footerReference w:type="default" r:id="rId10"/>
      <w:pgSz w:w="12240" w:h="15840"/>
      <w:pgMar w:top="1247" w:right="1417"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18"/>
      </w:rPr>
      <w:t xml:space="preserve">Page </w:t>
    </w:r>
    <w:r>
      <w:rPr>
        <w:rFonts w:ascii="Times New Roman" w:hAnsi="Times New Roman"/>
        <w:color w:val="666666"/>
        <w:sz w:val="18"/>
      </w:rPr>
      <w:fldChar w:fldCharType="begin"/>
      <w:instrText xml:space="preserve"> PAGE </w:instrText>
      <w:fldChar w:fldCharType="end"/>
    </w:r>
    <w:r>
      <w:rPr>
        <w:rFonts w:ascii="Times New Roman" w:hAnsi="Times New Roman"/>
        <w:color w:val="666666"/>
        <w:sz w:val="18"/>
      </w:rPr>
      <w:t xml:space="preserve"> / </w:t>
    </w:r>
    <w:r>
      <w:rPr>
        <w:rFonts w:ascii="Times New Roman" w:hAnsi="Times New Roman"/>
        <w:color w:val="666666"/>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66666"/>
        <w:sz w:val="17"/>
      </w:rPr>
      <w:t>Mission de diagnostic structurel et de maîtrise d'œuvre de travaux de confortement sur le patrimoine bâti  ·  Repair Ingénierie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