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A3D6E"/>
          <w:sz w:val="22"/>
        </w:rPr>
        <w:t>Repair Ingénierie</w:t>
      </w:r>
    </w:p>
    <w:p>
      <w:pPr>
        <w:spacing w:after="0"/>
      </w:pPr>
      <w:r>
        <w:rPr>
          <w:sz w:val="20"/>
        </w:rPr>
        <w:t>12, Rue des Bâtisseurs</w:t>
      </w:r>
    </w:p>
    <w:p>
      <w:pPr>
        <w:spacing w:after="0"/>
      </w:pPr>
      <w:r>
        <w:rPr>
          <w:sz w:val="20"/>
        </w:rPr>
        <w:t>38000 Grenoble</w:t>
      </w:r>
    </w:p>
    <w:p>
      <w:pPr>
        <w:spacing w:after="0"/>
      </w:pPr>
      <w:r>
        <w:rPr>
          <w:sz w:val="20"/>
        </w:rPr>
        <w:t>Tél : 04 76 XX XX XX</w:t>
      </w:r>
    </w:p>
    <w:p>
      <w:pPr>
        <w:spacing w:after="0"/>
      </w:pPr>
      <w:r>
        <w:rPr>
          <w:sz w:val="20"/>
        </w:rPr>
        <w:t>contact@repairingenierie.fr</w:t>
      </w:r>
    </w:p>
    <w:p/>
    <w:p/>
    <w:p>
      <w:pPr>
        <w:spacing w:after="0"/>
        <w:jc w:val="right"/>
      </w:pPr>
      <w:r>
        <w:rPr>
          <w:sz w:val="20"/>
        </w:rPr>
        <w:t>Monsieur le Maire</w:t>
      </w:r>
    </w:p>
    <w:p>
      <w:pPr>
        <w:spacing w:after="0"/>
        <w:jc w:val="right"/>
      </w:pPr>
      <w:r>
        <w:rPr>
          <w:sz w:val="20"/>
        </w:rPr>
        <w:t>Commune de Saint-Marcellin</w:t>
      </w:r>
    </w:p>
    <w:p>
      <w:pPr>
        <w:spacing w:after="0"/>
        <w:jc w:val="right"/>
      </w:pPr>
      <w:r>
        <w:rPr>
          <w:sz w:val="20"/>
        </w:rPr>
        <w:t>Place d'Armes</w:t>
      </w:r>
    </w:p>
    <w:p>
      <w:pPr>
        <w:spacing w:after="0"/>
        <w:jc w:val="right"/>
      </w:pPr>
      <w:r>
        <w:rPr>
          <w:sz w:val="20"/>
        </w:rPr>
        <w:t>38160 Saint-Marcellin</w:t>
      </w:r>
    </w:p>
    <w:p/>
    <w:p/>
    <w:p>
      <w:pPr>
        <w:jc w:val="right"/>
      </w:pPr>
      <w:r>
        <w:rPr>
          <w:i/>
          <w:sz w:val="20"/>
        </w:rPr>
        <w:t>Saint-Marcellin, le 5 mai 2026</w:t>
      </w:r>
    </w:p>
    <w:p/>
    <w:p>
      <w:pPr>
        <w:spacing w:after="360"/>
      </w:pPr>
      <w:r>
        <w:rPr>
          <w:b/>
          <w:sz w:val="22"/>
        </w:rPr>
        <w:t>Objet : Candidature au marché 2026-SM-001 - Maîtrise d'œuvre pour le confortement structurel de la salle des fêtes municipale</w:t>
      </w:r>
    </w:p>
    <w:p>
      <w:pPr>
        <w:spacing w:after="240"/>
      </w:pPr>
      <w:r>
        <w:rPr>
          <w:i/>
        </w:rPr>
        <w:t>Madame, Monsieur,</w:t>
      </w:r>
    </w:p>
    <w:p>
      <w:pPr>
        <w:spacing w:after="200"/>
        <w:ind w:firstLine="454"/>
        <w:jc w:val="both"/>
      </w:pPr>
      <w:r>
        <w:t>Monsieur le Maire,</w:t>
        <w:br/>
        <w:br/>
        <w:t>Nous avons pris connaissance de l'appel d'offres relatif à la mission de maîtrise d'œuvre complète pour le confortement structurel de la salle des fêtes municipale de Saint-Marcellin. Repair Ingénierie, bureau d'études spécialisé en pathologie et confortement de structures existantes, exprime son vif intérêt pour cette consultation. Nous confirmons notre engagement à respecter l'intégralité des clauses et conditions du Dossier de Consultation des Entreprises (DCE).</w:t>
      </w:r>
    </w:p>
    <w:p>
      <w:pPr>
        <w:spacing w:after="200"/>
        <w:ind w:firstLine="454"/>
        <w:jc w:val="both"/>
      </w:pPr>
      <w:r>
        <w:t>Repair Ingénierie est un bureau d'études structures dont le cœur de métier est l'analyse, le diagnostic et la conception d'interventions sur des ouvrages existants présentant des désordres ou nécessitant un renforcement. Notre expertise couvre une large gamme de matériaux (béton armé, métal, bois, maçonnerie) et de typologies de bâtiments. Nous disposons des moyens humains et techniques nécessaires pour mener à bien des missions complexes de pathologie structurelle.</w:t>
      </w:r>
    </w:p>
    <w:p>
      <w:pPr>
        <w:spacing w:after="200"/>
        <w:ind w:firstLine="454"/>
        <w:jc w:val="both"/>
      </w:pPr>
      <w:r>
        <w:t>Notre expérience significative dans le traitement des désordres liés au retrait-gonflement des argiles (RGA), avec plus de 50 sinistres traités, constitue un atout direct pour ce projet. Nous maîtrisons les investigations en site occupé et la coordination des interventions, comme exigé pour la salle des fêtes. De plus, notre capacité à piloter des missions géotechniques G2 AVP et à intégrer les diagnostics amiante/plomb, ainsi que nos références en MOE complète sur des opérations de confortement de taille équivalente, nous positionnent comme un partenaire fiable et compétent.</w:t>
      </w:r>
    </w:p>
    <w:p>
      <w:pPr>
        <w:spacing w:after="120"/>
      </w:pPr>
      <w:r>
        <w:t>Pièces jointes à la présente candidature :</w:t>
      </w:r>
    </w:p>
    <w:p>
      <w:pPr>
        <w:pStyle w:val="ListBullet"/>
        <w:spacing w:after="40"/>
      </w:pPr>
      <w:r>
        <w:rPr>
          <w:sz w:val="20"/>
        </w:rPr>
        <w:t>1. Lettre de candidature (DC1)</w:t>
      </w:r>
    </w:p>
    <w:p>
      <w:pPr>
        <w:pStyle w:val="ListBullet"/>
        <w:spacing w:after="40"/>
      </w:pPr>
      <w:r>
        <w:rPr>
          <w:sz w:val="20"/>
        </w:rPr>
        <w:t>2. Déclaration du candidat (DC2)</w:t>
      </w:r>
    </w:p>
    <w:p>
      <w:pPr>
        <w:pStyle w:val="ListBullet"/>
        <w:spacing w:after="40"/>
      </w:pPr>
      <w:r>
        <w:rPr>
          <w:sz w:val="20"/>
        </w:rPr>
        <w:t>3. Attestation sur l'honneur de non-condamnation et régularité</w:t>
      </w:r>
    </w:p>
    <w:p>
      <w:pPr>
        <w:pStyle w:val="ListBullet"/>
        <w:spacing w:after="40"/>
      </w:pPr>
      <w:r>
        <w:rPr>
          <w:sz w:val="20"/>
        </w:rPr>
        <w:t>4. Attestation d'assurance Responsabilité Civile professionnelle et décennale</w:t>
      </w:r>
    </w:p>
    <w:p>
      <w:pPr>
        <w:pStyle w:val="ListBullet"/>
        <w:spacing w:after="40"/>
      </w:pPr>
      <w:r>
        <w:rPr>
          <w:sz w:val="20"/>
        </w:rPr>
        <w:t>5. Fiches de référence (2 références dont une RGA)</w:t>
      </w:r>
    </w:p>
    <w:p>
      <w:pPr>
        <w:pStyle w:val="ListBullet"/>
        <w:spacing w:after="40"/>
      </w:pPr>
      <w:r>
        <w:rPr>
          <w:sz w:val="20"/>
        </w:rPr>
        <w:t>6. CV du chef de projet et de l'ingénieur calculs</w:t>
      </w:r>
    </w:p>
    <w:p>
      <w:pPr>
        <w:pStyle w:val="ListBullet"/>
        <w:spacing w:after="40"/>
      </w:pPr>
      <w:r>
        <w:rPr>
          <w:sz w:val="20"/>
        </w:rPr>
        <w:t>7. Acte d'engagement complété, daté et signé</w:t>
      </w:r>
    </w:p>
    <w:p>
      <w:pPr>
        <w:pStyle w:val="ListBullet"/>
        <w:spacing w:after="40"/>
      </w:pPr>
      <w:r>
        <w:rPr>
          <w:sz w:val="20"/>
        </w:rPr>
        <w:t>8. Décomposition du Prix Global et Forfaitaire (DPGF) complétée</w:t>
      </w:r>
    </w:p>
    <w:p>
      <w:pPr>
        <w:pStyle w:val="ListBullet"/>
        <w:spacing w:after="40"/>
      </w:pPr>
      <w:r>
        <w:rPr>
          <w:sz w:val="20"/>
        </w:rPr>
        <w:t>9. Mémoire technique</w:t>
      </w:r>
    </w:p>
    <w:p>
      <w:pPr>
        <w:pStyle w:val="ListBullet"/>
        <w:spacing w:after="40"/>
      </w:pPr>
      <w:r>
        <w:rPr>
          <w:sz w:val="20"/>
        </w:rPr>
        <w:t>10. Planning prévisionnel de la phase ETU</w:t>
      </w:r>
    </w:p>
    <w:p>
      <w:pPr>
        <w:pStyle w:val="ListBullet"/>
        <w:spacing w:after="40"/>
      </w:pPr>
      <w:r>
        <w:rPr>
          <w:sz w:val="20"/>
        </w:rPr>
        <w:t>11. Relevé d'Identité Bancaire (RIB)</w:t>
      </w:r>
    </w:p>
    <w:p/>
    <w:p>
      <w:pPr>
        <w:spacing w:after="720"/>
        <w:ind w:firstLine="454"/>
        <w:jc w:val="both"/>
      </w:pPr>
      <w:r>
        <w:t>Dans l'attente de votre décision, nous vous prions d'agréer, Monsieur le Maire, l'expression de nos salutations distinguées.</w:t>
      </w:r>
    </w:p>
    <w:p>
      <w:pPr>
        <w:jc w:val="right"/>
      </w:pPr>
      <w:r>
        <w:rPr>
          <w:b/>
          <w:sz w:val="22"/>
        </w:rPr>
        <w:t>Jean Dupont</w:t>
      </w:r>
    </w:p>
    <w:p>
      <w:pPr>
        <w:jc w:val="right"/>
      </w:pPr>
      <w:r>
        <w:rPr>
          <w:i/>
          <w:sz w:val="20"/>
        </w:rPr>
        <w:t>Gérant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