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540"/>
      </w:tblGrid>
      <w:tr>
        <w:tc>
          <w:tcPr>
            <w:tcW w:type="dxa" w:w="10540"/>
            <w:shd w:val="clear" w:color="auto" w:fill="1A3D6E"/>
            <w:tcBorders>
              <w:top w:val="nil"/>
              <w:left w:val="nil"/>
              <w:bottom w:val="nil"/>
              <w:right w:val="nil"/>
            </w:tcBorders>
          </w:tcPr>
          <w:p>
            <w:pPr>
              <w:spacing w:before="40" w:after="0"/>
              <w:jc w:val="left"/>
            </w:pPr>
            <w:r>
              <w:rPr>
                <w:rFonts w:ascii="Calibri" w:hAnsi="Calibri"/>
                <w:b/>
                <w:i w:val="0"/>
                <w:color w:val="FFFFFF"/>
                <w:sz w:val="36"/>
              </w:rPr>
              <w:t>SYNTHÈSE DIRECTION  —  Go / No-go</w:t>
            </w:r>
          </w:p>
          <w:p>
            <w:pPr>
              <w:spacing w:after="40"/>
            </w:pPr>
            <w:r>
              <w:rPr>
                <w:rFonts w:ascii="Calibri" w:hAnsi="Calibri"/>
                <w:b w:val="0"/>
                <w:i/>
                <w:color w:val="CCD9E8"/>
                <w:sz w:val="18"/>
              </w:rPr>
              <w:t>Repair Ingenierie  ·  Analyse du 05/05/2026</w:t>
            </w:r>
          </w:p>
        </w:tc>
      </w:tr>
    </w:tbl>
    <w:p>
      <w:pPr>
        <w:spacing w:after="120"/>
      </w:pPr>
    </w:p>
    <w:tbl>
      <w:tblPr>
        <w:tblW w:type="auto" w:w="0"/>
        <w:tblLayout w:type="fixed"/>
        <w:tblLook w:firstColumn="1" w:firstRow="1" w:lastColumn="0" w:lastRow="0" w:noHBand="0" w:noVBand="1" w:val="04A0"/>
      </w:tblPr>
      <w:tblGrid>
        <w:gridCol w:w="6236"/>
        <w:gridCol w:w="3969"/>
      </w:tblGrid>
      <w:tr>
        <w:tc>
          <w:tcPr>
            <w:tcW w:type="dxa" w:w="5270"/>
            <w:tcBorders>
              <w:top w:val="nil"/>
              <w:left w:val="single" w:sz="24" w:space="0" w:color="1A3D6E"/>
              <w:bottom w:val="nil"/>
              <w:right w:val="nil"/>
            </w:tcBorders>
            <w:shd w:val="clear" w:color="auto" w:fill="E8EDF5"/>
            <w:vAlign w:val="top"/>
          </w:tcPr>
          <w:p>
            <w:pPr>
              <w:spacing w:after="80"/>
            </w:pPr>
            <w:r/>
            <w:r>
              <w:rPr>
                <w:rFonts w:ascii="Calibri" w:hAnsi="Calibri"/>
                <w:b/>
                <w:i w:val="0"/>
                <w:color w:val="1A3D6E"/>
                <w:sz w:val="20"/>
              </w:rPr>
              <w:t>IDENTITÉ DU MARCHÉ</w:t>
            </w:r>
          </w:p>
          <w:p>
            <w:pPr>
              <w:spacing w:after="40"/>
            </w:pPr>
            <w:r>
              <w:rPr>
                <w:rFonts w:ascii="Calibri" w:hAnsi="Calibri"/>
                <w:b/>
                <w:i w:val="0"/>
                <w:sz w:val="18"/>
              </w:rPr>
              <w:t xml:space="preserve">Objet : </w:t>
            </w:r>
            <w:r>
              <w:rPr>
                <w:rFonts w:ascii="Calibri" w:hAnsi="Calibri"/>
                <w:b w:val="0"/>
                <w:i w:val="0"/>
                <w:sz w:val="18"/>
              </w:rPr>
              <w:t>Mission de maîtrise d'œuvre complète (DIAG à AOR) pour le confortement structurel de la salle des fêtes municipale de Saint-Marcellin, sinistrée par le retrait-gonflement des argiles.</w:t>
            </w:r>
          </w:p>
          <w:p>
            <w:pPr>
              <w:spacing w:after="40"/>
            </w:pPr>
            <w:r>
              <w:rPr>
                <w:rFonts w:ascii="Calibri" w:hAnsi="Calibri"/>
                <w:b/>
                <w:i w:val="0"/>
                <w:sz w:val="18"/>
              </w:rPr>
              <w:t xml:space="preserve">Pouvoir adjudicateur : </w:t>
            </w:r>
            <w:r>
              <w:rPr>
                <w:rFonts w:ascii="Calibri" w:hAnsi="Calibri"/>
                <w:b w:val="0"/>
                <w:i w:val="0"/>
                <w:sz w:val="18"/>
              </w:rPr>
              <w:t>Commune de Saint-Marcellin</w:t>
            </w:r>
          </w:p>
          <w:p>
            <w:pPr>
              <w:spacing w:after="40"/>
            </w:pPr>
            <w:r>
              <w:rPr>
                <w:rFonts w:ascii="Calibri" w:hAnsi="Calibri"/>
                <w:b/>
                <w:i w:val="0"/>
                <w:sz w:val="18"/>
              </w:rPr>
              <w:t xml:space="preserve">Type de marché : </w:t>
            </w:r>
            <w:r>
              <w:rPr>
                <w:rFonts w:ascii="Calibri" w:hAnsi="Calibri"/>
                <w:b w:val="0"/>
                <w:i w:val="0"/>
                <w:sz w:val="18"/>
              </w:rPr>
              <w:t>ordinaire</w:t>
            </w:r>
          </w:p>
          <w:p>
            <w:pPr>
              <w:spacing w:after="40"/>
            </w:pPr>
            <w:r>
              <w:rPr>
                <w:rFonts w:ascii="Calibri" w:hAnsi="Calibri"/>
                <w:b/>
                <w:i w:val="0"/>
                <w:sz w:val="18"/>
              </w:rPr>
              <w:t xml:space="preserve">Date limite de remise : </w:t>
            </w:r>
            <w:r>
              <w:rPr>
                <w:rFonts w:ascii="Calibri" w:hAnsi="Calibri"/>
                <w:b w:val="0"/>
                <w:i w:val="0"/>
                <w:sz w:val="18"/>
              </w:rPr>
              <w:t>26 mai 2026 à 17h00</w:t>
            </w:r>
          </w:p>
          <w:p>
            <w:pPr>
              <w:spacing w:after="40"/>
            </w:pPr>
            <w:r>
              <w:rPr>
                <w:rFonts w:ascii="Calibri" w:hAnsi="Calibri"/>
                <w:b/>
                <w:i w:val="0"/>
                <w:sz w:val="18"/>
              </w:rPr>
              <w:t xml:space="preserve">Durée : </w:t>
            </w:r>
            <w:r>
              <w:rPr>
                <w:rFonts w:ascii="Calibri" w:hAnsi="Calibri"/>
                <w:b w:val="0"/>
                <w:i w:val="0"/>
                <w:sz w:val="18"/>
              </w:rPr>
              <w:t>18 mois prévisionnels (notification à levée des réserves AOR)</w:t>
            </w:r>
          </w:p>
        </w:tc>
        <w:tc>
          <w:tcPr>
            <w:tcW w:type="dxa" w:w="5270"/>
            <w:tcBorders>
              <w:top w:val="nil"/>
              <w:left w:val="nil"/>
              <w:bottom w:val="nil"/>
              <w:right w:val="nil"/>
            </w:tcBorders>
            <w:shd w:val="clear" w:color="auto" w:fill="B54708"/>
            <w:tcBorders>
              <w:top w:val="nil"/>
              <w:left w:val="nil"/>
              <w:bottom w:val="nil"/>
              <w:right w:val="nil"/>
            </w:tcBorders>
            <w:vAlign w:val="center"/>
          </w:tcPr>
          <w:p>
            <w:pPr>
              <w:spacing w:before="200" w:after="40"/>
              <w:jc w:val="center"/>
            </w:pPr>
            <w:r>
              <w:rPr>
                <w:rFonts w:ascii="Calibri" w:hAnsi="Calibri"/>
                <w:b/>
                <w:i w:val="0"/>
                <w:color w:val="FFFFFF"/>
                <w:sz w:val="20"/>
              </w:rPr>
              <w:t>RECOMMANDATION</w:t>
            </w:r>
          </w:p>
          <w:p>
            <w:pPr>
              <w:spacing w:after="160"/>
              <w:jc w:val="center"/>
            </w:pPr>
            <w:r>
              <w:rPr>
                <w:rFonts w:ascii="Calibri" w:hAnsi="Calibri"/>
                <w:b/>
                <w:i w:val="0"/>
                <w:color w:val="FFFFFF"/>
                <w:sz w:val="44"/>
              </w:rPr>
              <w:t>GO sous conditions</w:t>
            </w:r>
          </w:p>
        </w:tc>
      </w:tr>
    </w:tbl>
    <w:p>
      <w:pPr>
        <w:spacing w:after="80"/>
      </w:pPr>
    </w:p>
    <w:tbl>
      <w:tblPr>
        <w:tblW w:type="auto" w:w="0"/>
        <w:tblLayout w:type="fixed"/>
        <w:tblLook w:firstColumn="1" w:firstRow="1" w:lastColumn="0" w:lastRow="0" w:noHBand="0" w:noVBand="1" w:val="04A0"/>
      </w:tblPr>
      <w:tblGrid>
        <w:gridCol w:w="3402"/>
        <w:gridCol w:w="3402"/>
        <w:gridCol w:w="3402"/>
      </w:tblGrid>
      <w:tr>
        <w:tc>
          <w:tcPr>
            <w:tcW w:type="dxa" w:w="3513"/>
            <w:tcBorders>
              <w:top w:val="nil"/>
              <w:left w:val="nil"/>
              <w:bottom w:val="nil"/>
              <w:right w:val="nil"/>
            </w:tcBorders>
            <w:shd w:val="clear" w:color="auto" w:fill="F4F6FA"/>
            <w:tcBorders>
              <w:top w:val="nil"/>
              <w:left w:val="nil"/>
              <w:bottom w:val="nil"/>
              <w:right w:val="nil"/>
            </w:tcBorders>
            <w:vAlign w:val="center"/>
          </w:tcPr>
          <w:p>
            <w:pPr>
              <w:spacing w:before="80" w:after="0"/>
              <w:jc w:val="center"/>
            </w:pPr>
            <w:r>
              <w:rPr>
                <w:rFonts w:ascii="Calibri" w:hAnsi="Calibri"/>
                <w:b/>
                <w:i w:val="0"/>
                <w:color w:val="666666"/>
                <w:sz w:val="16"/>
              </w:rPr>
              <w:t>MONTANT MAXIMUM HT</w:t>
            </w:r>
          </w:p>
          <w:p>
            <w:pPr>
              <w:spacing w:after="80"/>
              <w:jc w:val="center"/>
            </w:pPr>
            <w:r>
              <w:rPr>
                <w:rFonts w:ascii="Calibri" w:hAnsi="Calibri"/>
                <w:b/>
                <w:i w:val="0"/>
                <w:color w:val="1A3D6E"/>
                <w:sz w:val="24"/>
              </w:rPr>
              <w:t>non précisé</w:t>
            </w:r>
          </w:p>
        </w:tc>
        <w:tc>
          <w:tcPr>
            <w:tcW w:type="dxa" w:w="3513"/>
            <w:tcBorders>
              <w:top w:val="nil"/>
              <w:left w:val="nil"/>
              <w:bottom w:val="nil"/>
              <w:right w:val="nil"/>
            </w:tcBorders>
            <w:shd w:val="clear" w:color="auto" w:fill="F4F6FA"/>
            <w:tcBorders>
              <w:top w:val="nil"/>
              <w:left w:val="nil"/>
              <w:bottom w:val="nil"/>
              <w:right w:val="nil"/>
            </w:tcBorders>
            <w:vAlign w:val="center"/>
          </w:tcPr>
          <w:p>
            <w:pPr>
              <w:spacing w:before="80" w:after="0"/>
              <w:jc w:val="center"/>
            </w:pPr>
            <w:r>
              <w:rPr>
                <w:rFonts w:ascii="Calibri" w:hAnsi="Calibri"/>
                <w:b/>
                <w:i w:val="0"/>
                <w:color w:val="666666"/>
                <w:sz w:val="16"/>
              </w:rPr>
              <w:t>DQE ESTIMÉ HT</w:t>
            </w:r>
          </w:p>
          <w:p>
            <w:pPr>
              <w:spacing w:after="80"/>
              <w:jc w:val="center"/>
            </w:pPr>
            <w:r>
              <w:rPr>
                <w:rFonts w:ascii="Calibri" w:hAnsi="Calibri"/>
                <w:b/>
                <w:i w:val="0"/>
                <w:color w:val="1A3D6E"/>
                <w:sz w:val="24"/>
              </w:rPr>
              <w:t>53 180 € HT</w:t>
            </w:r>
          </w:p>
        </w:tc>
        <w:tc>
          <w:tcPr>
            <w:tcW w:type="dxa" w:w="3513"/>
            <w:tcBorders>
              <w:top w:val="nil"/>
              <w:left w:val="nil"/>
              <w:bottom w:val="nil"/>
              <w:right w:val="nil"/>
            </w:tcBorders>
            <w:shd w:val="clear" w:color="auto" w:fill="F4F6FA"/>
            <w:tcBorders>
              <w:top w:val="nil"/>
              <w:left w:val="nil"/>
              <w:bottom w:val="nil"/>
              <w:right w:val="nil"/>
            </w:tcBorders>
            <w:vAlign w:val="center"/>
          </w:tcPr>
          <w:p>
            <w:pPr>
              <w:spacing w:before="80" w:after="0"/>
              <w:jc w:val="center"/>
            </w:pPr>
            <w:r>
              <w:rPr>
                <w:rFonts w:ascii="Calibri" w:hAnsi="Calibri"/>
                <w:b/>
                <w:i w:val="0"/>
                <w:color w:val="666666"/>
                <w:sz w:val="16"/>
              </w:rPr>
              <w:t>DATE LIMITE</w:t>
            </w:r>
          </w:p>
          <w:p>
            <w:pPr>
              <w:spacing w:after="80"/>
              <w:jc w:val="center"/>
            </w:pPr>
            <w:r>
              <w:rPr>
                <w:rFonts w:ascii="Calibri" w:hAnsi="Calibri"/>
                <w:b/>
                <w:i w:val="0"/>
                <w:color w:val="1A3D6E"/>
                <w:sz w:val="24"/>
              </w:rPr>
              <w:t>26 mai 2026 à 17h00</w:t>
            </w:r>
          </w:p>
        </w:tc>
      </w:tr>
    </w:tbl>
    <w:p>
      <w:pPr>
        <w:spacing w:after="80"/>
      </w:pPr>
    </w:p>
    <w:tbl>
      <w:tblPr>
        <w:tblW w:type="auto" w:w="0"/>
        <w:tblLayout w:type="fixed"/>
        <w:tblLook w:firstColumn="1" w:firstRow="1" w:lastColumn="0" w:lastRow="0" w:noHBand="0" w:noVBand="1" w:val="04A0"/>
      </w:tblPr>
      <w:tblGrid>
        <w:gridCol w:w="5102"/>
        <w:gridCol w:w="5102"/>
      </w:tblGrid>
      <w:tr>
        <w:tc>
          <w:tcPr>
            <w:tcW w:type="dxa" w:w="5270"/>
            <w:tcBorders>
              <w:top w:val="nil"/>
              <w:left w:val="single" w:sz="24" w:space="0" w:color="106B3A"/>
              <w:bottom w:val="nil"/>
              <w:right w:val="nil"/>
            </w:tcBorders>
            <w:shd w:val="clear" w:color="auto" w:fill="E8F5EE"/>
          </w:tcPr>
          <w:p>
            <w:pPr>
              <w:spacing w:after="80"/>
            </w:pPr>
            <w:r/>
            <w:r>
              <w:rPr>
                <w:rFonts w:ascii="Calibri" w:hAnsi="Calibri"/>
                <w:b/>
                <w:i w:val="0"/>
                <w:color w:val="106B3A"/>
                <w:sz w:val="20"/>
              </w:rPr>
              <w:t>✓  ATOUTS DU CANDIDAT</w:t>
            </w:r>
          </w:p>
          <w:p>
            <w:pPr>
              <w:spacing w:after="40"/>
              <w:ind w:left="170"/>
            </w:pPr>
            <w:r>
              <w:rPr>
                <w:rFonts w:ascii="Calibri" w:hAnsi="Calibri"/>
                <w:b w:val="0"/>
                <w:i w:val="0"/>
                <w:color w:val="1A3D6E"/>
                <w:sz w:val="18"/>
              </w:rPr>
              <w:t xml:space="preserve">▪  </w:t>
            </w:r>
            <w:r>
              <w:rPr>
                <w:rFonts w:ascii="Calibri" w:hAnsi="Calibri"/>
                <w:b w:val="0"/>
                <w:i w:val="0"/>
                <w:sz w:val="18"/>
              </w:rPr>
              <w:t>Cœur de métier parfaitement aligné sur la pathologie RGA et le confortement d'ouvrages existants.</w:t>
            </w:r>
          </w:p>
          <w:p>
            <w:pPr>
              <w:spacing w:after="40"/>
              <w:ind w:left="170"/>
            </w:pPr>
            <w:r>
              <w:rPr>
                <w:rFonts w:ascii="Calibri" w:hAnsi="Calibri"/>
                <w:b w:val="0"/>
                <w:i w:val="0"/>
                <w:color w:val="1A3D6E"/>
                <w:sz w:val="18"/>
              </w:rPr>
              <w:t xml:space="preserve">▪  </w:t>
            </w:r>
            <w:r>
              <w:rPr>
                <w:rFonts w:ascii="Calibri" w:hAnsi="Calibri"/>
                <w:b w:val="0"/>
                <w:i w:val="0"/>
                <w:sz w:val="18"/>
              </w:rPr>
              <w:t>Expertise avérée sur plus de 50 sinistres RGA, couvrant l'exigence d'une référence spécifique sur ce type de pathologie.</w:t>
            </w:r>
          </w:p>
          <w:p>
            <w:pPr>
              <w:spacing w:after="40"/>
              <w:ind w:left="170"/>
            </w:pPr>
            <w:r>
              <w:rPr>
                <w:rFonts w:ascii="Calibri" w:hAnsi="Calibri"/>
                <w:b w:val="0"/>
                <w:i w:val="0"/>
                <w:color w:val="1A3D6E"/>
                <w:sz w:val="18"/>
              </w:rPr>
              <w:t xml:space="preserve">▪  </w:t>
            </w:r>
            <w:r>
              <w:rPr>
                <w:rFonts w:ascii="Calibri" w:hAnsi="Calibri"/>
                <w:b w:val="0"/>
                <w:i w:val="0"/>
                <w:sz w:val="18"/>
              </w:rPr>
              <w:t>M. Jean Dupont (12 ans d'expérience) comme chef de projet répond et dépasse l'exigence des 5 ans d'expérience en pathologie.</w:t>
            </w:r>
          </w:p>
          <w:p>
            <w:pPr>
              <w:spacing w:after="40"/>
              <w:ind w:left="170"/>
            </w:pPr>
            <w:r>
              <w:rPr>
                <w:rFonts w:ascii="Calibri" w:hAnsi="Calibri"/>
                <w:b w:val="0"/>
                <w:i w:val="0"/>
                <w:color w:val="1A3D6E"/>
                <w:sz w:val="18"/>
              </w:rPr>
              <w:t xml:space="preserve">▪  </w:t>
            </w:r>
            <w:r>
              <w:rPr>
                <w:rFonts w:ascii="Calibri" w:hAnsi="Calibri"/>
                <w:b w:val="0"/>
                <w:i w:val="0"/>
                <w:sz w:val="18"/>
              </w:rPr>
              <w:t>Capacité à intégrer les compétences géotechniques (G2 AVP) et diagnostiqueur amiante/plomb via partenariats éprouvés.</w:t>
            </w:r>
          </w:p>
          <w:p>
            <w:pPr>
              <w:spacing w:after="40"/>
              <w:ind w:left="170"/>
            </w:pPr>
            <w:r>
              <w:rPr>
                <w:rFonts w:ascii="Calibri" w:hAnsi="Calibri"/>
                <w:b w:val="0"/>
                <w:i w:val="0"/>
                <w:color w:val="1A3D6E"/>
                <w:sz w:val="18"/>
              </w:rPr>
              <w:t xml:space="preserve">▪  </w:t>
            </w:r>
            <w:r>
              <w:rPr>
                <w:rFonts w:ascii="Calibri" w:hAnsi="Calibri"/>
                <w:b w:val="0"/>
                <w:i w:val="0"/>
                <w:sz w:val="18"/>
              </w:rPr>
              <w:t>Maîtrise des interventions en site occupé et des contraintes de coordination, essentielle pour ce type d'opération.</w:t>
            </w:r>
          </w:p>
        </w:tc>
        <w:tc>
          <w:tcPr>
            <w:tcW w:type="dxa" w:w="5270"/>
            <w:tcBorders>
              <w:top w:val="nil"/>
              <w:left w:val="single" w:sz="24" w:space="0" w:color="B54708"/>
              <w:bottom w:val="nil"/>
              <w:right w:val="nil"/>
            </w:tcBorders>
            <w:shd w:val="clear" w:color="auto" w:fill="FEF4E6"/>
          </w:tcPr>
          <w:p>
            <w:pPr>
              <w:spacing w:after="80"/>
            </w:pPr>
            <w:r/>
            <w:r>
              <w:rPr>
                <w:rFonts w:ascii="Calibri" w:hAnsi="Calibri"/>
                <w:b/>
                <w:i w:val="0"/>
                <w:color w:val="B54708"/>
                <w:sz w:val="20"/>
              </w:rPr>
              <w:t>⚠  RISQUES ET VIGILANCE</w:t>
            </w:r>
          </w:p>
          <w:p>
            <w:pPr>
              <w:spacing w:after="40"/>
              <w:ind w:left="170"/>
            </w:pPr>
            <w:r>
              <w:rPr>
                <w:rFonts w:ascii="Calibri" w:hAnsi="Calibri"/>
                <w:b w:val="0"/>
                <w:i w:val="0"/>
                <w:color w:val="1A3D6E"/>
                <w:sz w:val="18"/>
              </w:rPr>
              <w:t xml:space="preserve">▪  </w:t>
            </w:r>
            <w:r>
              <w:rPr>
                <w:rFonts w:ascii="Calibri" w:hAnsi="Calibri"/>
                <w:b w:val="0"/>
                <w:i w:val="0"/>
                <w:sz w:val="18"/>
              </w:rPr>
              <w:t>Le montant DQE estimé (53 180 € HT) est faible pour une MOE complète DIAG à AOR sur 18 mois, impliquant une forte pression sur les prix.</w:t>
            </w:r>
          </w:p>
          <w:p>
            <w:pPr>
              <w:spacing w:after="40"/>
              <w:ind w:left="170"/>
            </w:pPr>
            <w:r>
              <w:rPr>
                <w:rFonts w:ascii="Calibri" w:hAnsi="Calibri"/>
                <w:b w:val="0"/>
                <w:i w:val="0"/>
                <w:color w:val="1A3D6E"/>
                <w:sz w:val="18"/>
              </w:rPr>
              <w:t xml:space="preserve">▪  </w:t>
            </w:r>
            <w:r>
              <w:rPr>
                <w:rFonts w:ascii="Calibri" w:hAnsi="Calibri"/>
                <w:b w:val="0"/>
                <w:i w:val="0"/>
                <w:sz w:val="18"/>
              </w:rPr>
              <w:t>Les délais de phases sont très contraints (18 semaines pour ETU), avec des pénalités significatives en cas de retard.</w:t>
            </w:r>
          </w:p>
          <w:p>
            <w:pPr>
              <w:spacing w:after="40"/>
              <w:ind w:left="170"/>
            </w:pPr>
            <w:r>
              <w:rPr>
                <w:rFonts w:ascii="Calibri" w:hAnsi="Calibri"/>
                <w:b w:val="0"/>
                <w:i w:val="0"/>
                <w:color w:val="1A3D6E"/>
                <w:sz w:val="18"/>
              </w:rPr>
              <w:t xml:space="preserve">▪  </w:t>
            </w:r>
            <w:r>
              <w:rPr>
                <w:rFonts w:ascii="Calibri" w:hAnsi="Calibri"/>
                <w:b w:val="0"/>
                <w:i w:val="0"/>
                <w:sz w:val="18"/>
              </w:rPr>
              <w:t>Le rôle de VISA sur l'EXE de l'entreprise nécessite une vigilance accrue pour éviter les dérives de planning ou de qualité.</w:t>
            </w:r>
          </w:p>
          <w:p>
            <w:pPr>
              <w:spacing w:after="40"/>
              <w:ind w:left="170"/>
            </w:pPr>
            <w:r>
              <w:rPr>
                <w:rFonts w:ascii="Calibri" w:hAnsi="Calibri"/>
                <w:b w:val="0"/>
                <w:i w:val="0"/>
                <w:color w:val="1A3D6E"/>
                <w:sz w:val="18"/>
              </w:rPr>
              <w:t xml:space="preserve">▪  </w:t>
            </w:r>
            <w:r>
              <w:rPr>
                <w:rFonts w:ascii="Calibri" w:hAnsi="Calibri"/>
                <w:b w:val="0"/>
                <w:i w:val="0"/>
                <w:sz w:val="18"/>
              </w:rPr>
              <w:t>Les investigations destructives sont à notre charge et soumises à validation préalable, pouvant impacter le planning et les coûts si non anticipé.</w:t>
            </w:r>
          </w:p>
        </w:tc>
      </w:tr>
    </w:tbl>
    <w:p>
      <w:pPr>
        <w:spacing w:after="80"/>
      </w:pPr>
    </w:p>
    <w:tbl>
      <w:tblPr>
        <w:tblW w:type="auto" w:w="0"/>
        <w:tblLayout w:type="fixed"/>
        <w:tblLook w:firstColumn="1" w:firstRow="1" w:lastColumn="0" w:lastRow="0" w:noHBand="0" w:noVBand="1" w:val="04A0"/>
      </w:tblPr>
      <w:tblGrid>
        <w:gridCol w:w="5102"/>
        <w:gridCol w:w="5102"/>
      </w:tblGrid>
      <w:tr>
        <w:tc>
          <w:tcPr>
            <w:tcW w:type="dxa" w:w="5270"/>
            <w:tcBorders>
              <w:top w:val="nil"/>
              <w:left w:val="single" w:sz="20" w:space="0" w:color="1A3D6E"/>
              <w:bottom w:val="nil"/>
              <w:right w:val="nil"/>
            </w:tcBorders>
            <w:shd w:val="clear" w:color="auto" w:fill="F4F6FA"/>
          </w:tcPr>
          <w:p>
            <w:pPr>
              <w:spacing w:after="80"/>
            </w:pPr>
            <w:r/>
            <w:r>
              <w:rPr>
                <w:rFonts w:ascii="Calibri" w:hAnsi="Calibri"/>
                <w:b/>
                <w:i w:val="0"/>
                <w:color w:val="1A3D6E"/>
                <w:sz w:val="20"/>
              </w:rPr>
              <w:t>CRITÈRES DE JUGEMENT</w:t>
            </w:r>
          </w:p>
          <w:p>
            <w:pPr>
              <w:spacing w:after="40"/>
              <w:ind w:left="170"/>
            </w:pPr>
            <w:r>
              <w:rPr>
                <w:rFonts w:ascii="Calibri" w:hAnsi="Calibri"/>
                <w:b w:val="0"/>
                <w:i w:val="0"/>
                <w:color w:val="1A3D6E"/>
                <w:sz w:val="18"/>
              </w:rPr>
              <w:t xml:space="preserve">▪  </w:t>
            </w:r>
            <w:r>
              <w:rPr>
                <w:rFonts w:ascii="Calibri" w:hAnsi="Calibri"/>
                <w:b/>
                <w:i w:val="0"/>
                <w:sz w:val="18"/>
              </w:rPr>
              <w:t>Valeur technique</w:t>
            </w:r>
            <w:r>
              <w:rPr>
                <w:rFonts w:ascii="Calibri" w:hAnsi="Calibri"/>
                <w:b w:val="0"/>
                <w:i w:val="0"/>
                <w:sz w:val="18"/>
              </w:rPr>
              <w:t xml:space="preserve"> — 50 %</w:t>
            </w:r>
          </w:p>
          <w:p>
            <w:pPr>
              <w:spacing w:after="40"/>
              <w:ind w:left="170"/>
            </w:pPr>
            <w:r>
              <w:rPr>
                <w:rFonts w:ascii="Calibri" w:hAnsi="Calibri"/>
                <w:b w:val="0"/>
                <w:i w:val="0"/>
                <w:color w:val="1A3D6E"/>
                <w:sz w:val="18"/>
              </w:rPr>
              <w:t xml:space="preserve">▪  </w:t>
            </w:r>
            <w:r>
              <w:rPr>
                <w:rFonts w:ascii="Calibri" w:hAnsi="Calibri"/>
                <w:b/>
                <w:i w:val="0"/>
                <w:sz w:val="18"/>
              </w:rPr>
              <w:t>Prix</w:t>
            </w:r>
            <w:r>
              <w:rPr>
                <w:rFonts w:ascii="Calibri" w:hAnsi="Calibri"/>
                <w:b w:val="0"/>
                <w:i w:val="0"/>
                <w:sz w:val="18"/>
              </w:rPr>
              <w:t xml:space="preserve"> — 40 %</w:t>
            </w:r>
          </w:p>
          <w:p>
            <w:pPr>
              <w:spacing w:after="40"/>
              <w:ind w:left="170"/>
            </w:pPr>
            <w:r>
              <w:rPr>
                <w:rFonts w:ascii="Calibri" w:hAnsi="Calibri"/>
                <w:b w:val="0"/>
                <w:i w:val="0"/>
                <w:color w:val="1A3D6E"/>
                <w:sz w:val="18"/>
              </w:rPr>
              <w:t xml:space="preserve">▪  </w:t>
            </w:r>
            <w:r>
              <w:rPr>
                <w:rFonts w:ascii="Calibri" w:hAnsi="Calibri"/>
                <w:b/>
                <w:i w:val="0"/>
                <w:sz w:val="18"/>
              </w:rPr>
              <w:t>Délais</w:t>
            </w:r>
            <w:r>
              <w:rPr>
                <w:rFonts w:ascii="Calibri" w:hAnsi="Calibri"/>
                <w:b w:val="0"/>
                <w:i w:val="0"/>
                <w:sz w:val="18"/>
              </w:rPr>
              <w:t xml:space="preserve"> — 10 %</w:t>
            </w:r>
          </w:p>
        </w:tc>
        <w:tc>
          <w:tcPr>
            <w:tcW w:type="dxa" w:w="5270"/>
            <w:tcBorders>
              <w:top w:val="nil"/>
              <w:left w:val="single" w:sz="20" w:space="0" w:color="1A3D6E"/>
              <w:bottom w:val="nil"/>
              <w:right w:val="nil"/>
            </w:tcBorders>
            <w:shd w:val="clear" w:color="auto" w:fill="F4F6FA"/>
          </w:tcPr>
          <w:p>
            <w:pPr>
              <w:spacing w:after="80"/>
            </w:pPr>
            <w:r/>
            <w:r>
              <w:rPr>
                <w:rFonts w:ascii="Calibri" w:hAnsi="Calibri"/>
                <w:b/>
                <w:i w:val="0"/>
                <w:color w:val="1A3D6E"/>
                <w:sz w:val="20"/>
              </w:rPr>
              <w:t>POINTS D'ATTENTION BUSINESS</w:t>
            </w:r>
          </w:p>
          <w:p>
            <w:pPr>
              <w:spacing w:after="40"/>
              <w:ind w:left="170"/>
            </w:pPr>
            <w:r>
              <w:rPr>
                <w:rFonts w:ascii="Calibri" w:hAnsi="Calibri"/>
                <w:b w:val="0"/>
                <w:i w:val="0"/>
                <w:color w:val="1A3D6E"/>
                <w:sz w:val="18"/>
              </w:rPr>
              <w:t xml:space="preserve">▪  </w:t>
            </w:r>
            <w:r>
              <w:rPr>
                <w:rFonts w:ascii="Calibri" w:hAnsi="Calibri"/>
                <w:b w:val="0"/>
                <w:i w:val="0"/>
                <w:sz w:val="18"/>
              </w:rPr>
              <w:t>Forte pondération de la valeur technique (50%) axée sur la méthodologie RGA et les scénarios de confortement.</w:t>
            </w:r>
          </w:p>
          <w:p>
            <w:pPr>
              <w:spacing w:after="40"/>
              <w:ind w:left="170"/>
            </w:pPr>
            <w:r>
              <w:rPr>
                <w:rFonts w:ascii="Calibri" w:hAnsi="Calibri"/>
                <w:b w:val="0"/>
                <w:i w:val="0"/>
                <w:color w:val="1A3D6E"/>
                <w:sz w:val="18"/>
              </w:rPr>
              <w:t xml:space="preserve">▪  </w:t>
            </w:r>
            <w:r>
              <w:rPr>
                <w:rFonts w:ascii="Calibri" w:hAnsi="Calibri"/>
                <w:b w:val="0"/>
                <w:i w:val="0"/>
                <w:sz w:val="18"/>
              </w:rPr>
              <w:t>Mission MOE complète (DIAG à AOR) avec rôle VISA pour l'EXE, exigeant une coordination particulière avec l'entreprise.</w:t>
            </w:r>
          </w:p>
          <w:p>
            <w:pPr>
              <w:spacing w:after="40"/>
              <w:ind w:left="170"/>
            </w:pPr>
            <w:r>
              <w:rPr>
                <w:rFonts w:ascii="Calibri" w:hAnsi="Calibri"/>
                <w:b w:val="0"/>
                <w:i w:val="0"/>
                <w:color w:val="1A3D6E"/>
                <w:sz w:val="18"/>
              </w:rPr>
              <w:t xml:space="preserve">▪  </w:t>
            </w:r>
            <w:r>
              <w:rPr>
                <w:rFonts w:ascii="Calibri" w:hAnsi="Calibri"/>
                <w:b w:val="0"/>
                <w:i w:val="0"/>
                <w:sz w:val="18"/>
              </w:rPr>
              <w:t>Délais de phases courts (DIAG 4 sem, AVP 6 sem, PRO 8 sem) avec pénalités de 120 € HT/jour, plafonnées à 8 % du marché.</w:t>
            </w:r>
          </w:p>
          <w:p>
            <w:pPr>
              <w:spacing w:after="40"/>
              <w:ind w:left="170"/>
            </w:pPr>
            <w:r>
              <w:rPr>
                <w:rFonts w:ascii="Calibri" w:hAnsi="Calibri"/>
                <w:b w:val="0"/>
                <w:i w:val="0"/>
                <w:color w:val="1A3D6E"/>
                <w:sz w:val="18"/>
              </w:rPr>
              <w:t xml:space="preserve">▪  </w:t>
            </w:r>
            <w:r>
              <w:rPr>
                <w:rFonts w:ascii="Calibri" w:hAnsi="Calibri"/>
                <w:b w:val="0"/>
                <w:i w:val="0"/>
                <w:sz w:val="18"/>
              </w:rPr>
              <w:t>Exigence de 3 scénarios de confortement chiffrés en AVP, nécessitant une forte ingénierie technique et économique.</w:t>
            </w:r>
          </w:p>
          <w:p>
            <w:pPr>
              <w:spacing w:after="40"/>
              <w:ind w:left="170"/>
            </w:pPr>
            <w:r>
              <w:rPr>
                <w:rFonts w:ascii="Calibri" w:hAnsi="Calibri"/>
                <w:b w:val="0"/>
                <w:i w:val="0"/>
                <w:color w:val="1A3D6E"/>
                <w:sz w:val="18"/>
              </w:rPr>
              <w:t xml:space="preserve">▪  </w:t>
            </w:r>
            <w:r>
              <w:rPr>
                <w:rFonts w:ascii="Calibri" w:hAnsi="Calibri"/>
                <w:b w:val="0"/>
                <w:i w:val="0"/>
                <w:sz w:val="18"/>
              </w:rPr>
              <w:t>Interventions en site occasionnellement occupé, avec validation préalable des sondages destructifs et remises en état à notre charge.</w:t>
            </w:r>
          </w:p>
        </w:tc>
      </w:tr>
    </w:tbl>
    <w:p>
      <w:pPr>
        <w:spacing w:after="120"/>
      </w:pPr>
    </w:p>
    <w:p>
      <w:pPr>
        <w:spacing w:after="40"/>
      </w:pPr>
      <w:r>
        <w:rPr>
          <w:rFonts w:ascii="Calibri" w:hAnsi="Calibri"/>
          <w:b/>
          <w:i w:val="0"/>
          <w:color w:val="1A3D6E"/>
          <w:sz w:val="20"/>
        </w:rPr>
        <w:t>ARGUMENTAIRE DE LA RECOMMANDATION</w:t>
      </w:r>
    </w:p>
    <w:p>
      <w:pPr>
        <w:spacing w:after="0"/>
        <w:jc w:val="both"/>
      </w:pPr>
      <w:r>
        <w:rPr>
          <w:rFonts w:ascii="Calibri" w:hAnsi="Calibri"/>
          <w:b w:val="0"/>
          <w:i w:val="0"/>
          <w:sz w:val="20"/>
        </w:rPr>
        <w:t>Le marché est un excellent fit avec notre cœur de métier et notre expertise RGA. Nos atouts techniques sont très solides et répondent précisément aux exigences. Le risque principal réside dans le montant DQE potentiellement bas et les délais très serrés. Recommandation : GO sous conditions d'une offre de prix très compétitive et d'une planification interne rigoureuse.</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