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22.png" ContentType="image/png"/>
  <Override PartName="/word/media/rId24.png" ContentType="image/png"/>
  <Override PartName="/word/media/rId25.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r>
        <w:t xml:space="preserve"> </w:t>
      </w:r>
      <w:r>
        <w:t xml:space="preserve">séries</w:t>
      </w:r>
      <w:r>
        <w:t xml:space="preserve"> </w:t>
      </w:r>
      <w:r>
        <w:t xml:space="preserve">temporelles</w:t>
      </w:r>
      <w:r>
        <w:t xml:space="preserve"> </w:t>
      </w:r>
      <w:r>
        <w:t xml:space="preserve">linéaires</w:t>
      </w:r>
    </w:p>
    <w:p>
      <w:pPr>
        <w:pStyle w:val="Author"/>
      </w:pPr>
      <w:r>
        <w:t xml:space="preserve">Antoine</w:t>
      </w:r>
      <w:r>
        <w:t xml:space="preserve"> </w:t>
      </w:r>
      <w:r>
        <w:t xml:space="preserve">Joubrel</w:t>
      </w:r>
      <w:r>
        <w:t xml:space="preserve"> </w:t>
      </w:r>
      <w:r>
        <w:t xml:space="preserve">et</w:t>
      </w:r>
      <w:r>
        <w:t xml:space="preserve"> </w:t>
      </w:r>
      <w:r>
        <w:t xml:space="preserve">Quentin</w:t>
      </w:r>
      <w:r>
        <w:t xml:space="preserve"> </w:t>
      </w:r>
      <w:r>
        <w:t xml:space="preserve">Menner</w:t>
      </w:r>
    </w:p>
    <w:bookmarkStart w:id="27" w:name="partie-i-les-données"/>
    <w:p>
      <w:pPr>
        <w:pStyle w:val="Heading2"/>
      </w:pPr>
      <w:r>
        <w:t xml:space="preserve">Partie I : Les données</w:t>
      </w:r>
    </w:p>
    <w:bookmarkStart w:id="20" w:name="question-1"/>
    <w:p>
      <w:pPr>
        <w:pStyle w:val="Heading3"/>
      </w:pPr>
      <w:r>
        <w:t xml:space="preserve">Question 1</w:t>
      </w:r>
    </w:p>
    <w:p>
      <w:pPr>
        <w:pStyle w:val="FirstParagraph"/>
      </w:pPr>
      <w:r>
        <w:t xml:space="preserve">La série étudiée représente la production mensuelle de biens manufacturés en France métropolitaine entre janvier 1985 et janvier 2000. C’est une série agrégée corrigée des variations saisonnières et des jours ouvrés (CVS-CJO) contenant 181 observations. L’unité de mesure est un indice de base 100 en 1990.</w:t>
      </w:r>
      <w:r>
        <w:t xml:space="preserve"> </w:t>
      </w:r>
      <w:r>
        <w:t xml:space="preserve">La série est de la forme suivante :</w:t>
      </w:r>
    </w:p>
    <w:bookmarkEnd w:id="20"/>
    <w:bookmarkStart w:id="23" w:name="question-2"/>
    <w:p>
      <w:pPr>
        <w:pStyle w:val="Heading3"/>
      </w:pPr>
      <w:r>
        <w:t xml:space="preserve">Question 2</w:t>
      </w:r>
    </w:p>
    <w:p>
      <w:pPr>
        <w:numPr>
          <w:ilvl w:val="0"/>
          <w:numId w:val="1001"/>
        </w:numPr>
        <w:pStyle w:val="Compact"/>
      </w:pPr>
      <w:r>
        <w:t xml:space="preserve">Nous sommes d’abord demandés si la série avait une saisonnalité. En observant attentivement année après année, on pourrait croire que la série est globalement croissante sur une année. Pour en avoir le coeur nette, nous avons regardé la répartition de l’indice pour chaque mois.</w:t>
      </w:r>
    </w:p>
    <w:p>
      <w:pPr>
        <w:pStyle w:val="FirstParagraph"/>
      </w:pPr>
      <w:r>
        <w:drawing>
          <wp:inline>
            <wp:extent cx="4620126" cy="3696101"/>
            <wp:effectExtent b="0" l="0" r="0" t="0"/>
            <wp:docPr descr="" title="" id="1" name="Picture"/>
            <a:graphic>
              <a:graphicData uri="http://schemas.openxmlformats.org/drawingml/2006/picture">
                <pic:pic>
                  <pic:nvPicPr>
                    <pic:cNvPr descr="Rapport_projet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Aucune saisonnalité semble se dégager.</w:t>
      </w:r>
    </w:p>
    <w:p>
      <w:pPr>
        <w:numPr>
          <w:ilvl w:val="0"/>
          <w:numId w:val="1002"/>
        </w:numPr>
        <w:pStyle w:val="Compact"/>
      </w:pPr>
      <w:r>
        <w:t xml:space="preserve">Toutefois la série possède une tendance nette à la hausse malgré une baisse de l’indice entre 1990 et 1994.</w:t>
      </w:r>
    </w:p>
    <w:p>
      <w:pPr>
        <w:pStyle w:val="FirstParagraph"/>
      </w:pPr>
      <w:r>
        <w:drawing>
          <wp:inline>
            <wp:extent cx="4620126" cy="3696101"/>
            <wp:effectExtent b="0" l="0" r="0" t="0"/>
            <wp:docPr descr="" title="" id="1" name="Picture"/>
            <a:graphic>
              <a:graphicData uri="http://schemas.openxmlformats.org/drawingml/2006/picture">
                <pic:pic>
                  <pic:nvPicPr>
                    <pic:cNvPr descr="Rapport_projet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Elle est nette quand on réalise une régression linéaire de la série sur le temps (coefficent de 0.087).</w:t>
      </w:r>
    </w:p>
    <w:p>
      <w:pPr>
        <w:pStyle w:val="BodyText"/>
      </w:pPr>
      <w:r>
        <w:t xml:space="preserve">Nous avons donc différencié la série puis réaliser des tests de stationnarité sur cette nouvelle série.</w:t>
      </w:r>
    </w:p>
    <w:p>
      <w:pPr>
        <w:pStyle w:val="BodyText"/>
      </w:pPr>
      <w:r>
        <w:t xml:space="preserve">Les test ADF et PP rejète l’hypothèse de racine unité et le test KPSS ne rejette pas l’hypothèse de stationnarité de la série. Nous considérons donc la série différenciée statinnaire.</w:t>
      </w:r>
    </w:p>
    <w:bookmarkEnd w:id="23"/>
    <w:bookmarkStart w:id="26" w:name="question-3"/>
    <w:p>
      <w:pPr>
        <w:pStyle w:val="Heading3"/>
      </w:pPr>
      <w:r>
        <w:t xml:space="preserve">Question 3</w:t>
      </w:r>
    </w:p>
    <w:p>
      <w:pPr>
        <w:pStyle w:val="FirstParagraph"/>
      </w:pPr>
      <w:r>
        <w:drawing>
          <wp:inline>
            <wp:extent cx="4620126" cy="3696101"/>
            <wp:effectExtent b="0" l="0" r="0" t="0"/>
            <wp:docPr descr="" title="" id="1" name="Picture"/>
            <a:graphic>
              <a:graphicData uri="http://schemas.openxmlformats.org/drawingml/2006/picture">
                <pic:pic>
                  <pic:nvPicPr>
                    <pic:cNvPr descr="Rapport_proje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apport_projet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End w:id="27"/>
    <w:bookmarkStart w:id="33" w:name="partie-ii-modèles-arma"/>
    <w:p>
      <w:pPr>
        <w:pStyle w:val="Heading2"/>
      </w:pPr>
      <w:r>
        <w:t xml:space="preserve">Partie II : Modèles ARMA</w:t>
      </w:r>
    </w:p>
    <w:bookmarkStart w:id="31" w:name="question-4"/>
    <w:p>
      <w:pPr>
        <w:pStyle w:val="Heading3"/>
      </w:pPr>
      <w:r>
        <w:t xml:space="preserve">Question 4</w:t>
      </w:r>
    </w:p>
    <w:p>
      <w:pPr>
        <w:pStyle w:val="FirstParagraph"/>
      </w:pPr>
      <w:r>
        <w:t xml:space="preserve">Une caractéristique importante de notre série temporelle est l’autocorrélation des résidues. On observe en effet qu’ils sont linéairement décroissants et en dehors des intervalles de confiance comme il est le cas dans un AR pure. Nous sommes donc amèné à penser que la série est un AR pure.</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FirstParagraph"/>
      </w:pPr>
      <w:r>
        <w:drawing>
          <wp:inline>
            <wp:extent cx="4620126" cy="3696101"/>
            <wp:effectExtent b="0" l="0" r="0" t="0"/>
            <wp:docPr descr="" title="" id="1" name="Picture"/>
            <a:graphic>
              <a:graphicData uri="http://schemas.openxmlformats.org/drawingml/2006/picture">
                <pic:pic>
                  <pic:nvPicPr>
                    <pic:cNvPr descr="Rapport_projet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Continuous tout de même la méthode de Box-Jenkins, pour voir si notre hypothèse est vérifiée.</w:t>
      </w:r>
    </w:p>
    <w:p>
      <w:pPr>
        <w:pStyle w:val="BodyText"/>
      </w:pPr>
      <w:r>
        <w:t xml:space="preserve">Les graphiques de l’ACF et du PACF donne comme valeur maximale des coeffecients AR et MA 1.</w:t>
      </w:r>
    </w:p>
    <w:p>
      <w:pPr>
        <w:pStyle w:val="BodyText"/>
      </w:pPr>
      <w:r>
        <w:drawing>
          <wp:inline>
            <wp:extent cx="4620126" cy="3696101"/>
            <wp:effectExtent b="0" l="0" r="0" t="0"/>
            <wp:docPr descr="" title="" id="1" name="Picture"/>
            <a:graphic>
              <a:graphicData uri="http://schemas.openxmlformats.org/drawingml/2006/picture">
                <pic:pic>
                  <pic:nvPicPr>
                    <pic:cNvPr descr="Rapport_projet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évalue donc 4 modèles : ARMA(0,0), ARMA(1,0) (ou AR(1)), ARMA(0,1) (ou MA(1)) et ARMA(1,1) en regardant d’abord l’autocorrélation des résidues et la significativité des coefficients.</w:t>
      </w:r>
    </w:p>
    <w:p>
      <w:pPr>
        <w:numPr>
          <w:ilvl w:val="0"/>
          <w:numId w:val="1003"/>
        </w:numPr>
        <w:pStyle w:val="Compact"/>
      </w:pPr>
      <w:r>
        <w:t xml:space="preserve">Pour le modèle ARMA(0,0) (bruit blanc)</w:t>
      </w:r>
    </w:p>
    <w:p>
      <w:pPr>
        <w:pStyle w:val="SourceCode"/>
      </w:pPr>
      <w:r>
        <w:rPr>
          <w:rStyle w:val="VerbatimChar"/>
        </w:rPr>
        <w:t xml:space="preserve">## Warning: package 'knitr' was built under R version 4.0.5</w:t>
      </w:r>
    </w:p>
    <w:p>
      <w:pPr>
        <w:pStyle w:val="SourceCode"/>
      </w:pPr>
      <w:r>
        <w:rPr>
          <w:rStyle w:val="VerbatimChar"/>
        </w:rPr>
        <w:t xml:space="preserve">## # A tibble: 1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0.137    0.0836      1.64   0.102</w:t>
      </w:r>
    </w:p>
    <w:p>
      <w:pPr>
        <w:pStyle w:val="FirstParagraph"/>
      </w:pPr>
      <w:r>
        <w:t xml:space="preserve">La constante (seul paramètre) n’est pas significative.</w:t>
      </w:r>
    </w:p>
    <w:p>
      <w:pPr>
        <w:pStyle w:val="SourceCode"/>
      </w:pPr>
      <w:r>
        <w:rPr>
          <w:rStyle w:val="VerbatimChar"/>
        </w:rPr>
        <w:t xml:space="preserve">##       lag b.statistic b.p.value   </w:t>
      </w:r>
      <w:r>
        <w:br/>
      </w:r>
      <w:r>
        <w:rPr>
          <w:rStyle w:val="VerbatimChar"/>
        </w:rPr>
        <w:t xml:space="preserve">##  [1,] 1   NA          NA          </w:t>
      </w:r>
      <w:r>
        <w:br/>
      </w:r>
      <w:r>
        <w:rPr>
          <w:rStyle w:val="VerbatimChar"/>
        </w:rPr>
        <w:t xml:space="preserve">##  [2,] 2   29.05626    7.030669e-08</w:t>
      </w:r>
      <w:r>
        <w:br/>
      </w:r>
      <w:r>
        <w:rPr>
          <w:rStyle w:val="VerbatimChar"/>
        </w:rPr>
        <w:t xml:space="preserve">##  [3,] 3   30.76253    2.089307e-07</w:t>
      </w:r>
      <w:r>
        <w:br/>
      </w:r>
      <w:r>
        <w:rPr>
          <w:rStyle w:val="VerbatimChar"/>
        </w:rPr>
        <w:t xml:space="preserve">##  [4,] 4   32.15385    4.856948e-07</w:t>
      </w:r>
      <w:r>
        <w:br/>
      </w:r>
      <w:r>
        <w:rPr>
          <w:rStyle w:val="VerbatimChar"/>
        </w:rPr>
        <w:t xml:space="preserve">##  [5,] 5   32.31955    1.645929e-06</w:t>
      </w:r>
      <w:r>
        <w:br/>
      </w:r>
      <w:r>
        <w:rPr>
          <w:rStyle w:val="VerbatimChar"/>
        </w:rPr>
        <w:t xml:space="preserve">##  [6,] 6   38.24597    3.367374e-07</w:t>
      </w:r>
      <w:r>
        <w:br/>
      </w:r>
      <w:r>
        <w:rPr>
          <w:rStyle w:val="VerbatimChar"/>
        </w:rPr>
        <w:t xml:space="preserve">##  [7,] 7   40.44434    3.725091e-07</w:t>
      </w:r>
      <w:r>
        <w:br/>
      </w:r>
      <w:r>
        <w:rPr>
          <w:rStyle w:val="VerbatimChar"/>
        </w:rPr>
        <w:t xml:space="preserve">##  [8,] 8   48.98071    2.288786e-08</w:t>
      </w:r>
      <w:r>
        <w:br/>
      </w:r>
      <w:r>
        <w:rPr>
          <w:rStyle w:val="VerbatimChar"/>
        </w:rPr>
        <w:t xml:space="preserve">##  [9,] 9   55.46514    3.584941e-09</w:t>
      </w:r>
      <w:r>
        <w:br/>
      </w:r>
      <w:r>
        <w:rPr>
          <w:rStyle w:val="VerbatimChar"/>
        </w:rPr>
        <w:t xml:space="preserve">## [10,] 10  55.90873    8.170861e-09</w:t>
      </w:r>
    </w:p>
    <w:p>
      <w:pPr>
        <w:pStyle w:val="FirstParagraph"/>
      </w:pPr>
      <w:r>
        <w:t xml:space="preserve">En revanche, les résidues ne sont pas du tout autocorélées.</w:t>
      </w:r>
      <w:r>
        <w:t xml:space="preserve"> </w:t>
      </w:r>
      <w:r>
        <w:rPr>
          <w:bCs/>
          <w:b/>
        </w:rPr>
        <w:t xml:space="preserve">On ne retient pas ce modèle</w:t>
      </w:r>
      <w:r>
        <w:t xml:space="preserve">.</w:t>
      </w:r>
    </w:p>
    <w:p>
      <w:pPr>
        <w:numPr>
          <w:ilvl w:val="0"/>
          <w:numId w:val="1004"/>
        </w:numPr>
        <w:pStyle w:val="Compact"/>
      </w:pPr>
      <w:r>
        <w:t xml:space="preserve">De même pour le modèle AR(1)</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ar1         -0.388    0.0694     -5.59 0.0000000222</w:t>
      </w:r>
      <w:r>
        <w:br/>
      </w:r>
      <w:r>
        <w:rPr>
          <w:rStyle w:val="VerbatimChar"/>
        </w:rPr>
        <w:t xml:space="preserve">## 2 intercept    0.134    0.0556      2.40 0.0163</w:t>
      </w:r>
    </w:p>
    <w:p>
      <w:pPr>
        <w:pStyle w:val="FirstParagraph"/>
      </w:pPr>
      <w:r>
        <w:t xml:space="preserve">Les coefficients sont significatifs aux seuils usuels.</w:t>
      </w:r>
    </w:p>
    <w:p>
      <w:pPr>
        <w:pStyle w:val="SourceCode"/>
      </w:pPr>
      <w:r>
        <w:rPr>
          <w:rStyle w:val="VerbatimChar"/>
        </w:rPr>
        <w:t xml:space="preserve">##       lag b.statistic b.p.value  </w:t>
      </w:r>
      <w:r>
        <w:br/>
      </w:r>
      <w:r>
        <w:rPr>
          <w:rStyle w:val="VerbatimChar"/>
        </w:rPr>
        <w:t xml:space="preserve">##  [1,] 1   NA          NA         </w:t>
      </w:r>
      <w:r>
        <w:br/>
      </w:r>
      <w:r>
        <w:rPr>
          <w:rStyle w:val="VerbatimChar"/>
        </w:rPr>
        <w:t xml:space="preserve">##  [2,] 2   NA          NA         </w:t>
      </w:r>
      <w:r>
        <w:br/>
      </w:r>
      <w:r>
        <w:rPr>
          <w:rStyle w:val="VerbatimChar"/>
        </w:rPr>
        <w:t xml:space="preserve">##  [3,] 3   4.091048    0.04311091 </w:t>
      </w:r>
      <w:r>
        <w:br/>
      </w:r>
      <w:r>
        <w:rPr>
          <w:rStyle w:val="VerbatimChar"/>
        </w:rPr>
        <w:t xml:space="preserve">##  [4,] 4   4.720079    0.09441648 </w:t>
      </w:r>
      <w:r>
        <w:br/>
      </w:r>
      <w:r>
        <w:rPr>
          <w:rStyle w:val="VerbatimChar"/>
        </w:rPr>
        <w:t xml:space="preserve">##  [5,] 5   5.985802    0.112303   </w:t>
      </w:r>
      <w:r>
        <w:br/>
      </w:r>
      <w:r>
        <w:rPr>
          <w:rStyle w:val="VerbatimChar"/>
        </w:rPr>
        <w:t xml:space="preserve">##  [6,] 6   13.86031    0.007754497</w:t>
      </w:r>
      <w:r>
        <w:br/>
      </w:r>
      <w:r>
        <w:rPr>
          <w:rStyle w:val="VerbatimChar"/>
        </w:rPr>
        <w:t xml:space="preserve">##  [7,] 7   14.06167    0.0152224  </w:t>
      </w:r>
      <w:r>
        <w:br/>
      </w:r>
      <w:r>
        <w:rPr>
          <w:rStyle w:val="VerbatimChar"/>
        </w:rPr>
        <w:t xml:space="preserve">##  [8,] 8   18.53717    0.005021067</w:t>
      </w:r>
      <w:r>
        <w:br/>
      </w:r>
      <w:r>
        <w:rPr>
          <w:rStyle w:val="VerbatimChar"/>
        </w:rPr>
        <w:t xml:space="preserve">##  [9,] 9   21.7933     0.002757393</w:t>
      </w:r>
      <w:r>
        <w:br/>
      </w:r>
      <w:r>
        <w:rPr>
          <w:rStyle w:val="VerbatimChar"/>
        </w:rPr>
        <w:t xml:space="preserve">## [10,] 10  21.91809    0.005069882</w:t>
      </w:r>
      <w:r>
        <w:br/>
      </w:r>
      <w:r>
        <w:rPr>
          <w:rStyle w:val="VerbatimChar"/>
        </w:rPr>
        <w:t xml:space="preserve">## [11,] 11  24.59587    0.0034523  </w:t>
      </w:r>
      <w:r>
        <w:br/>
      </w:r>
      <w:r>
        <w:rPr>
          <w:rStyle w:val="VerbatimChar"/>
        </w:rPr>
        <w:t xml:space="preserve">## [12,] 12  25.77409    0.004056201</w:t>
      </w:r>
      <w:r>
        <w:br/>
      </w:r>
      <w:r>
        <w:rPr>
          <w:rStyle w:val="VerbatimChar"/>
        </w:rPr>
        <w:t xml:space="preserve">## [13,] 13  27.38773    0.004014003</w:t>
      </w:r>
      <w:r>
        <w:br/>
      </w:r>
      <w:r>
        <w:rPr>
          <w:rStyle w:val="VerbatimChar"/>
        </w:rPr>
        <w:t xml:space="preserve">## [14,] 14  27.40036    0.006763869</w:t>
      </w:r>
      <w:r>
        <w:br/>
      </w:r>
      <w:r>
        <w:rPr>
          <w:rStyle w:val="VerbatimChar"/>
        </w:rPr>
        <w:t xml:space="preserve">## [15,] 15  27.70803    0.009937022</w:t>
      </w:r>
    </w:p>
    <w:p>
      <w:pPr>
        <w:pStyle w:val="FirstParagraph"/>
      </w:pPr>
      <w:r>
        <w:t xml:space="preserve">Globalement, les résidus ne sont pas corrélés entre eux (à part pour l’ordre 5). Donc</w:t>
      </w:r>
      <w:r>
        <w:t xml:space="preserve"> </w:t>
      </w:r>
      <w:r>
        <w:rPr>
          <w:bCs/>
          <w:b/>
        </w:rPr>
        <w:t xml:space="preserve">le modèle AR(1) est retenu.</w:t>
      </w:r>
    </w:p>
    <w:p>
      <w:pPr>
        <w:pStyle w:val="BodyText"/>
      </w:pPr>
      <w:r>
        <w:t xml:space="preserve">De même le modèle MA(1) est retenu car les résidus sont encore moins autocorrélés et les coefficients sont significatifs. Toutefois le modèles ARMA(1,1) n’est pas retenu car les coeffcients ne sont pas tous significatfs.</w:t>
      </w:r>
    </w:p>
    <w:p>
      <w:pPr>
        <w:pStyle w:val="BodyText"/>
      </w:pPr>
      <w:r>
        <w:t xml:space="preserve">Pour départager le modèle AR(1) et MA(1) nous avons comparé les critères d’informations (AIC et BIC) qui montre que le modèle AR(1) est meilleur.</w:t>
      </w:r>
    </w:p>
    <w:p>
      <w:pPr>
        <w:pStyle w:val="BodyText"/>
      </w:pPr>
      <w:r>
        <w:t xml:space="preserve">Est-il valide ? Pour cela, nous avons observé la répartition des résidus.</w:t>
      </w:r>
    </w:p>
    <w:p>
      <w:pPr>
        <w:pStyle w:val="SourceCode"/>
      </w:pPr>
      <w:r>
        <w:rPr>
          <w:rStyle w:val="VerbatimChar"/>
        </w:rPr>
        <w:t xml:space="preserve">## Warning: package 'forecast' was built under R version 4.0.5</w:t>
      </w:r>
    </w:p>
    <w:p>
      <w:pPr>
        <w:pStyle w:val="FirstParagraph"/>
      </w:pPr>
      <w:r>
        <w:drawing>
          <wp:inline>
            <wp:extent cx="4620126" cy="3696101"/>
            <wp:effectExtent b="0" l="0" r="0" t="0"/>
            <wp:docPr descr="" title="" id="1" name="Picture"/>
            <a:graphic>
              <a:graphicData uri="http://schemas.openxmlformats.org/drawingml/2006/picture">
                <pic:pic>
                  <pic:nvPicPr>
                    <pic:cNvPr descr="Rapport_projet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ARIMA(1,0,0) with non-zero mean</w:t>
      </w:r>
      <w:r>
        <w:br/>
      </w:r>
      <w:r>
        <w:rPr>
          <w:rStyle w:val="VerbatimChar"/>
        </w:rPr>
        <w:t xml:space="preserve">## Q* = 44.817, df = 22, p-value = 0.002799</w:t>
      </w:r>
      <w:r>
        <w:br/>
      </w:r>
      <w:r>
        <w:rPr>
          <w:rStyle w:val="VerbatimChar"/>
        </w:rPr>
        <w:t xml:space="preserve">## </w:t>
      </w:r>
      <w:r>
        <w:br/>
      </w:r>
      <w:r>
        <w:rPr>
          <w:rStyle w:val="VerbatimChar"/>
        </w:rPr>
        <w:t xml:space="preserve">## Model df: 2.   Total lags used: 24</w:t>
      </w:r>
    </w:p>
    <w:bookmarkEnd w:id="31"/>
    <w:bookmarkStart w:id="32" w:name="question-5"/>
    <w:p>
      <w:pPr>
        <w:pStyle w:val="Heading3"/>
      </w:pPr>
      <w:r>
        <w:t xml:space="preserve">Question 5</w:t>
      </w:r>
    </w:p>
    <w:p>
      <w:pPr>
        <w:pStyle w:val="FirstParagraph"/>
      </w:pPr>
      <w:r>
        <w:t xml:space="preserve">Nous supposons que donc la production mensuelle de biens manufacturés suit un</w:t>
      </w:r>
      <w:r>
        <w:t xml:space="preserve"> </w:t>
      </w:r>
      <w:r>
        <w:rPr>
          <w:bCs/>
          <w:b/>
        </w:rPr>
        <w:t xml:space="preserve">ARIMA(1,1,0)</w:t>
      </w:r>
      <w:r>
        <w:t xml:space="preserve"> </w:t>
      </w:r>
      <w:r>
        <w:t xml:space="preserve">car la série avait besoin d’être différencié une fois pour être stationnaire.</w:t>
      </w:r>
      <w:r>
        <w:t xml:space="preserve"> </w:t>
      </w:r>
      <w:r>
        <w:t xml:space="preserve">Le coeffcients lié à l’AR(1) est estimé à</w:t>
      </w:r>
      <w:r>
        <w:t xml:space="preserve"> </w:t>
      </w:r>
      <w:r>
        <w:rPr>
          <w:bCs/>
          <w:b/>
        </w:rPr>
        <w:t xml:space="preserve">-0.388</w:t>
      </w:r>
      <w:r>
        <w:t xml:space="preserve"> </w:t>
      </w:r>
      <w:r>
        <w:t xml:space="preserve">et la constante est de</w:t>
      </w:r>
      <w:r>
        <w:t xml:space="preserve"> </w:t>
      </w:r>
      <w:r>
        <w:rPr>
          <w:bCs/>
          <w:b/>
        </w:rPr>
        <w:t xml:space="preserve">0.134</w:t>
      </w:r>
      <w:r>
        <w:t xml:space="preserve">. La formule de la série est donc :</w:t>
      </w:r>
    </w:p>
    <w:p>
      <w:pPr>
        <w:pStyle w:val="BodyText"/>
      </w:pPr>
      <m:oMathPara>
        <m:oMathParaPr>
          <m:jc m:val="center"/>
        </m:oMathParaPr>
        <m:oMath>
          <m:sSub>
            <m:e>
              <m:r>
                <m:t>X</m:t>
              </m:r>
            </m:e>
            <m:sub>
              <m:r>
                <m:t>t</m:t>
              </m:r>
            </m:sub>
          </m:sSub>
          <m:r>
            <m:rPr>
              <m:sty m:val="p"/>
            </m:rPr>
            <m:t>=</m:t>
          </m:r>
          <m:r>
            <m:t>0.134</m:t>
          </m:r>
          <m:r>
            <m:rPr>
              <m:sty m:val="p"/>
            </m:rPr>
            <m:t>+</m:t>
          </m:r>
          <m:r>
            <m:t>0.612</m:t>
          </m:r>
          <m:sSub>
            <m:e>
              <m:r>
                <m:t>X</m:t>
              </m:r>
            </m:e>
            <m:sub>
              <m:r>
                <m:t>t</m:t>
              </m:r>
              <m:r>
                <m:rPr>
                  <m:sty m:val="p"/>
                </m:rPr>
                <m:t>−</m:t>
              </m:r>
              <m:r>
                <m:t>1</m:t>
              </m:r>
            </m:sub>
          </m:sSub>
          <m:r>
            <m:rPr>
              <m:sty m:val="p"/>
            </m:rPr>
            <m:t>+</m:t>
          </m:r>
          <m:r>
            <m:t>0.388</m:t>
          </m:r>
          <m:sSub>
            <m:e>
              <m:r>
                <m:t>X</m:t>
              </m:r>
            </m:e>
            <m:sub>
              <m:r>
                <m:t>t</m:t>
              </m:r>
              <m:r>
                <m:rPr>
                  <m:sty m:val="p"/>
                </m:rPr>
                <m:t>−</m:t>
              </m:r>
              <m:r>
                <m:t>2</m:t>
              </m:r>
            </m:sub>
          </m:sSub>
          <m:r>
            <m:rPr>
              <m:sty m:val="p"/>
            </m:rPr>
            <m:t>+</m:t>
          </m:r>
          <m:sSub>
            <m:e>
              <m:r>
                <m:t>ϵ</m:t>
              </m:r>
            </m:e>
            <m:sub>
              <m:r>
                <m:t>t</m:t>
              </m:r>
            </m:sub>
          </m:sSub>
        </m:oMath>
      </m:oMathPara>
    </w:p>
    <w:p>
      <w:pPr>
        <w:pStyle w:val="FirstParagraph"/>
      </w:pPr>
      <w:r>
        <w:t xml:space="preserve">avec</w:t>
      </w:r>
      <w:r>
        <w:t xml:space="preserve"> </w:t>
      </w:r>
      <m:oMath>
        <m:sSub>
          <m:e>
            <m:r>
              <m:t>ϵ</m:t>
            </m:r>
          </m:e>
          <m:sub>
            <m:r>
              <m:t>t</m:t>
            </m:r>
          </m:sub>
        </m:sSub>
      </m:oMath>
      <w:r>
        <w:t xml:space="preserve"> </w:t>
      </w:r>
      <w:r>
        <w:t xml:space="preserve">un bruit blanc gaussien.</w:t>
      </w:r>
    </w:p>
    <w:bookmarkEnd w:id="32"/>
    <w:bookmarkEnd w:id="33"/>
    <w:bookmarkStart w:id="34" w:name="partie-iii-prévision"/>
    <w:p>
      <w:pPr>
        <w:pStyle w:val="Heading2"/>
      </w:pPr>
      <w:r>
        <w:t xml:space="preserve">Partie III : Prévision</w:t>
      </w:r>
    </w:p>
    <w:p>
      <w:pPr>
        <w:numPr>
          <w:ilvl w:val="0"/>
          <w:numId w:val="1005"/>
        </w:numPr>
        <w:pStyle w:val="Compact"/>
      </w:pPr>
      <w:r>
        <w:t xml:space="preserve">Comme nous avons réalisé une différentiation d’un mois à l’autre dans la question 2, nous prenons ici le modèle de la forme ARIMA(1,1,0) :</w:t>
      </w:r>
    </w:p>
    <w:p>
      <w:pPr>
        <w:numPr>
          <w:ilvl w:val="0"/>
          <w:numId w:val="1000"/>
        </w:numPr>
        <w:pStyle w:val="Compact"/>
      </w:pPr>
      <w:r>
        <w:t xml:space="preserve">Avec</w:t>
      </w:r>
      <w:r>
        <w:t xml:space="preserve"> </w:t>
      </w:r>
      <w:r>
        <w:t xml:space="preserve">$(\epsilon_{t})_{t} \sim {\sf Norm}(0,1)$</w:t>
      </w:r>
      <w:r>
        <w:t xml:space="preserve">. Avec une probabilité de</w:t>
      </w:r>
      <w:r>
        <w:t xml:space="preserve"> </w:t>
      </w:r>
      <m:oMath>
        <m:r>
          <m:t>α</m:t>
        </m:r>
        <m:r>
          <m:rPr>
            <m:sty m:val="p"/>
          </m:rPr>
          <m:t>%</m:t>
        </m:r>
      </m:oMath>
      <w:r>
        <w:t xml:space="preserve">,</w:t>
      </w:r>
      <w:r>
        <w:t xml:space="preserve"> </w:t>
      </w:r>
      <m:oMath>
        <m:r>
          <m:rPr>
            <m:sty m:val="p"/>
          </m:rPr>
          <m:t>∣</m:t>
        </m:r>
        <m:sSub>
          <m:e>
            <m:r>
              <m:t>ϵ</m:t>
            </m:r>
          </m:e>
          <m:sub>
            <m:r>
              <m:t>t</m:t>
            </m:r>
          </m:sub>
        </m:sSub>
        <m:r>
          <m:rPr>
            <m:sty m:val="p"/>
          </m:rPr>
          <m:t>∣</m:t>
        </m:r>
        <m:r>
          <m:rPr>
            <m:sty m:val="p"/>
          </m:rPr>
          <m:t>≤</m:t>
        </m:r>
        <m:sSub>
          <m:e>
            <m:r>
              <m:t>q</m:t>
            </m:r>
          </m:e>
          <m:sub>
            <m:r>
              <m:t>1</m:t>
            </m:r>
            <m:r>
              <m:rPr>
                <m:sty m:val="p"/>
              </m:rPr>
              <m:t>−</m:t>
            </m:r>
            <m:f>
              <m:fPr>
                <m:type m:val="bar"/>
              </m:fPr>
              <m:num>
                <m:r>
                  <m:t>α</m:t>
                </m:r>
              </m:num>
              <m:den>
                <m:r>
                  <m:t>2</m:t>
                </m:r>
              </m:den>
            </m:f>
          </m:sub>
        </m:sSub>
      </m:oMath>
      <w:r>
        <w:t xml:space="preserve">. Ce qui donne :</w:t>
      </w:r>
    </w:p>
    <w:p>
      <w:pPr>
        <w:pStyle w:val="FirstParagraph"/>
      </w:pPr>
    </w:p>
    <w:p>
      <w:pPr>
        <w:pStyle w:val="BodyText"/>
      </w:pPr>
      <w:r>
        <w:t xml:space="preserve">+D’après la partie II,</w:t>
      </w:r>
      <w:r>
        <w:t xml:space="preserve"> </w:t>
      </w:r>
      <m:oMath>
        <m:r>
          <m:t>a</m:t>
        </m:r>
        <m:r>
          <m:rPr>
            <m:sty m:val="p"/>
          </m:rPr>
          <m:t>=</m:t>
        </m:r>
        <m:r>
          <m:rPr>
            <m:sty m:val="p"/>
          </m:rPr>
          <m:t>.</m:t>
        </m:r>
        <m:r>
          <m:rPr>
            <m:sty m:val="p"/>
          </m:rPr>
          <m:t>.</m:t>
        </m:r>
        <m:r>
          <m:t>e</m:t>
        </m:r>
        <m:r>
          <m:t>t</m:t>
        </m:r>
        <m:r>
          <m:t>b</m:t>
        </m:r>
        <m:r>
          <m:rPr>
            <m:sty m:val="p"/>
          </m:rPr>
          <m:t>=</m:t>
        </m:r>
        <m:r>
          <m:rPr>
            <m:sty m:val="p"/>
          </m:rPr>
          <m:t>.</m:t>
        </m:r>
        <m:r>
          <m:rPr>
            <m:sty m:val="p"/>
          </m:rPr>
          <m:t>.</m:t>
        </m:r>
        <m:r>
          <m:rPr>
            <m:sty m:val="p"/>
          </m:rPr>
          <m:t>.</m:t>
        </m:r>
      </m:oMath>
      <w:r>
        <w:t xml:space="preserve">. Donc on a comme région de confiance de niveau</w:t>
      </w:r>
      <w:r>
        <w:t xml:space="preserve"> </w:t>
      </w:r>
      <m:oMath>
        <m:r>
          <m:t>α</m:t>
        </m:r>
      </m:oMath>
      <w:r>
        <w:t xml:space="preserve">:</w:t>
      </w:r>
    </w:p>
    <w:p>
      <w:pPr>
        <w:pStyle w:val="BodyText"/>
      </w:pPr>
      <m:oMath>
        <m:sSub>
          <m:e>
            <m:r>
              <m:t>X</m:t>
            </m:r>
          </m:e>
          <m:sub>
            <m:r>
              <m:t>T</m:t>
            </m:r>
            <m:r>
              <m:rPr>
                <m:sty m:val="p"/>
              </m:rPr>
              <m:t>+</m:t>
            </m:r>
            <m:r>
              <m:t>1</m:t>
            </m:r>
          </m:sub>
        </m:sSub>
        <m:r>
          <m:rPr>
            <m:sty m:val="p"/>
          </m:rPr>
          <m:t>∈</m:t>
        </m:r>
        <m:d>
          <m:dPr>
            <m:begChr m:val="["/>
            <m:endChr m:val="]"/>
            <m:grow/>
          </m:dPr>
          <m:e>
            <m:sSub>
              <m:e>
                <m:r>
                  <m:t>q</m:t>
                </m:r>
              </m:e>
              <m:sub>
                <m:f>
                  <m:fPr>
                    <m:type m:val="bar"/>
                  </m:fPr>
                  <m:num>
                    <m:r>
                      <m:t>α</m:t>
                    </m:r>
                  </m:num>
                  <m:den>
                    <m:r>
                      <m:t>2</m:t>
                    </m:r>
                  </m:den>
                </m:f>
              </m:sub>
            </m:sSub>
            <m:r>
              <m:rPr>
                <m:sty m:val="p"/>
              </m:rPr>
              <m:t>+</m:t>
            </m:r>
            <m:r>
              <m:t>a</m:t>
            </m:r>
            <m:r>
              <m:rPr>
                <m:sty m:val="p"/>
              </m:rPr>
              <m:t>+</m:t>
            </m:r>
            <m:r>
              <m:rPr>
                <m:sty m:val="p"/>
              </m:rPr>
              <m:t>(</m:t>
            </m:r>
            <m:r>
              <m:t>b</m:t>
            </m:r>
            <m:r>
              <m:rPr>
                <m:sty m:val="p"/>
              </m:rPr>
              <m:t>+</m:t>
            </m:r>
            <m:r>
              <m:t>1</m:t>
            </m:r>
            <m:r>
              <m:rPr>
                <m:sty m:val="p"/>
              </m:rPr>
              <m:t>)</m:t>
            </m:r>
            <m:sSub>
              <m:e>
                <m:r>
                  <m:t>X</m:t>
                </m:r>
              </m:e>
              <m:sub>
                <m:r>
                  <m:t>T</m:t>
                </m:r>
              </m:sub>
            </m:sSub>
            <m:r>
              <m:rPr>
                <m:sty m:val="p"/>
              </m:rPr>
              <m:t>−</m:t>
            </m:r>
            <m:r>
              <m:t>b</m:t>
            </m:r>
            <m:sSub>
              <m:e>
                <m:r>
                  <m:t>X</m:t>
                </m:r>
              </m:e>
              <m:sub>
                <m:r>
                  <m:t>T</m:t>
                </m:r>
                <m:r>
                  <m:rPr>
                    <m:sty m:val="p"/>
                  </m:rPr>
                  <m:t>−</m:t>
                </m:r>
                <m:r>
                  <m:t>1</m:t>
                </m:r>
              </m:sub>
            </m:sSub>
            <m:r>
              <m:rPr>
                <m:sty m:val="p"/>
              </m:rPr>
              <m:t>,</m:t>
            </m:r>
            <m:sSub>
              <m:e>
                <m:r>
                  <m:t>q</m:t>
                </m:r>
              </m:e>
              <m:sub>
                <m:r>
                  <m:t>1</m:t>
                </m:r>
                <m:r>
                  <m:rPr>
                    <m:sty m:val="p"/>
                  </m:rPr>
                  <m:t>−</m:t>
                </m:r>
                <m:f>
                  <m:fPr>
                    <m:type m:val="bar"/>
                  </m:fPr>
                  <m:num>
                    <m:r>
                      <m:t>α</m:t>
                    </m:r>
                  </m:num>
                  <m:den>
                    <m:r>
                      <m:t>2</m:t>
                    </m:r>
                  </m:den>
                </m:f>
              </m:sub>
            </m:sSub>
            <m:r>
              <m:rPr>
                <m:sty m:val="p"/>
              </m:rPr>
              <m:t>+</m:t>
            </m:r>
            <m:r>
              <m:t>a</m:t>
            </m:r>
            <m:r>
              <m:rPr>
                <m:sty m:val="p"/>
              </m:rPr>
              <m:t>+</m:t>
            </m:r>
            <m:r>
              <m:rPr>
                <m:sty m:val="p"/>
              </m:rPr>
              <m:t>(</m:t>
            </m:r>
            <m:r>
              <m:t>b</m:t>
            </m:r>
            <m:r>
              <m:rPr>
                <m:sty m:val="p"/>
              </m:rPr>
              <m:t>+</m:t>
            </m:r>
            <m:r>
              <m:t>1</m:t>
            </m:r>
            <m:r>
              <m:rPr>
                <m:sty m:val="p"/>
              </m:rPr>
              <m:t>)</m:t>
            </m:r>
            <m:sSub>
              <m:e>
                <m:r>
                  <m:t>X</m:t>
                </m:r>
              </m:e>
              <m:sub>
                <m:r>
                  <m:t>T</m:t>
                </m:r>
              </m:sub>
            </m:sSub>
            <m:r>
              <m:rPr>
                <m:sty m:val="p"/>
              </m:rPr>
              <m:t>−</m:t>
            </m:r>
            <m:r>
              <m:t>b</m:t>
            </m:r>
            <m:sSub>
              <m:e>
                <m:r>
                  <m:t>X</m:t>
                </m:r>
              </m:e>
              <m:sub>
                <m:r>
                  <m:t>T</m:t>
                </m:r>
                <m:r>
                  <m:rPr>
                    <m:sty m:val="p"/>
                  </m:rPr>
                  <m:t>−</m:t>
                </m:r>
                <m:r>
                  <m:t>1</m:t>
                </m:r>
              </m:sub>
            </m:sSub>
          </m:e>
        </m:d>
      </m:oMath>
    </w:p>
    <w:p>
      <w:pPr>
        <w:pStyle w:val="BodyText"/>
      </w:pPr>
      <m:oMath>
        <m:sSub>
          <m:e>
            <m:r>
              <m:t>X</m:t>
            </m:r>
          </m:e>
          <m:sub>
            <m:r>
              <m:t>T</m:t>
            </m:r>
            <m:r>
              <m:rPr>
                <m:sty m:val="p"/>
              </m:rPr>
              <m:t>+</m:t>
            </m:r>
            <m:r>
              <m:t>2</m:t>
            </m:r>
          </m:sub>
        </m:sSub>
        <m:r>
          <m:rPr>
            <m:sty m:val="p"/>
          </m:rPr>
          <m:t>∈</m:t>
        </m:r>
        <m:d>
          <m:dPr>
            <m:begChr m:val="["/>
            <m:endChr m:val="]"/>
            <m:grow/>
          </m:dPr>
          <m:e>
            <m:r>
              <m:rPr>
                <m:sty m:val="p"/>
              </m:rPr>
              <m:t>.</m:t>
            </m:r>
            <m:r>
              <m:rPr>
                <m:sty m:val="p"/>
              </m:rPr>
              <m:t>.</m:t>
            </m:r>
            <m:sSub>
              <m:e>
                <m:r>
                  <m:t>q</m:t>
                </m:r>
              </m:e>
              <m:sub>
                <m:f>
                  <m:fPr>
                    <m:type m:val="bar"/>
                  </m:fPr>
                  <m:num>
                    <m:r>
                      <m:t>α</m:t>
                    </m:r>
                  </m:num>
                  <m:den>
                    <m:r>
                      <m:t>2</m:t>
                    </m:r>
                  </m:den>
                </m:f>
              </m:sub>
            </m:sSub>
            <m:r>
              <m:rPr>
                <m:sty m:val="p"/>
              </m:rPr>
              <m:t>+</m:t>
            </m:r>
            <m:r>
              <m:rPr>
                <m:sty m:val="p"/>
              </m:rPr>
              <m:t>.</m:t>
            </m:r>
            <m:r>
              <m:rPr>
                <m:sty m:val="p"/>
              </m:rPr>
              <m:t>.</m:t>
            </m:r>
            <m:r>
              <m:rPr>
                <m:sty m:val="p"/>
              </m:rPr>
              <m:t>+</m:t>
            </m:r>
            <m:r>
              <m:rPr>
                <m:sty m:val="p"/>
              </m:rPr>
              <m:t>.</m:t>
            </m:r>
            <m:r>
              <m:rPr>
                <m:sty m:val="p"/>
              </m:rPr>
              <m:t>.</m:t>
            </m:r>
            <m:sSub>
              <m:e>
                <m:r>
                  <m:t>X</m:t>
                </m:r>
              </m:e>
              <m:sub>
                <m:r>
                  <m:t>T</m:t>
                </m:r>
              </m:sub>
            </m:sSub>
            <m:r>
              <m:rPr>
                <m:sty m:val="p"/>
              </m:rPr>
              <m:t>−</m:t>
            </m:r>
            <m:r>
              <m:rPr>
                <m:sty m:val="p"/>
              </m:rPr>
              <m:t>.</m:t>
            </m:r>
            <m:r>
              <m:rPr>
                <m:sty m:val="p"/>
              </m:rPr>
              <m:t>.</m:t>
            </m:r>
            <m:sSub>
              <m:e>
                <m:r>
                  <m:t>X</m:t>
                </m:r>
              </m:e>
              <m:sub>
                <m:r>
                  <m:t>T</m:t>
                </m:r>
                <m:r>
                  <m:rPr>
                    <m:sty m:val="p"/>
                  </m:rPr>
                  <m:t>−</m:t>
                </m:r>
                <m:r>
                  <m:t>1</m:t>
                </m:r>
              </m:sub>
            </m:sSub>
            <m:r>
              <m:rPr>
                <m:sty m:val="p"/>
              </m:rPr>
              <m:t>,</m:t>
            </m:r>
            <m:r>
              <m:rPr>
                <m:sty m:val="p"/>
              </m:rPr>
              <m:t>.</m:t>
            </m:r>
            <m:r>
              <m:rPr>
                <m:sty m:val="p"/>
              </m:rPr>
              <m:t>.</m:t>
            </m:r>
            <m:sSub>
              <m:e>
                <m:r>
                  <m:t>q</m:t>
                </m:r>
              </m:e>
              <m:sub>
                <m:r>
                  <m:t>1</m:t>
                </m:r>
                <m:r>
                  <m:rPr>
                    <m:sty m:val="p"/>
                  </m:rPr>
                  <m:t>−</m:t>
                </m:r>
                <m:f>
                  <m:fPr>
                    <m:type m:val="bar"/>
                  </m:fPr>
                  <m:num>
                    <m:r>
                      <m:t>α</m:t>
                    </m:r>
                  </m:num>
                  <m:den>
                    <m:r>
                      <m:t>2</m:t>
                    </m:r>
                  </m:den>
                </m:f>
              </m:sub>
            </m:sSub>
            <m:r>
              <m:rPr>
                <m:sty m:val="p"/>
              </m:rPr>
              <m:t>+</m:t>
            </m:r>
            <m:r>
              <m:rPr>
                <m:sty m:val="p"/>
              </m:rPr>
              <m:t>.</m:t>
            </m:r>
            <m:r>
              <m:rPr>
                <m:sty m:val="p"/>
              </m:rPr>
              <m:t>.</m:t>
            </m:r>
            <m:r>
              <m:rPr>
                <m:sty m:val="p"/>
              </m:rPr>
              <m:t>+</m:t>
            </m:r>
            <m:r>
              <m:rPr>
                <m:sty m:val="p"/>
              </m:rPr>
              <m:t>.</m:t>
            </m:r>
            <m:r>
              <m:rPr>
                <m:sty m:val="p"/>
              </m:rPr>
              <m:t>.</m:t>
            </m:r>
            <m:sSub>
              <m:e>
                <m:r>
                  <m:t>X</m:t>
                </m:r>
              </m:e>
              <m:sub>
                <m:r>
                  <m:t>T</m:t>
                </m:r>
              </m:sub>
            </m:sSub>
            <m:r>
              <m:rPr>
                <m:sty m:val="p"/>
              </m:rPr>
              <m:t>−</m:t>
            </m:r>
            <m:r>
              <m:rPr>
                <m:sty m:val="p"/>
              </m:rPr>
              <m:t>.</m:t>
            </m:r>
            <m:r>
              <m:rPr>
                <m:sty m:val="p"/>
              </m:rPr>
              <m:t>.</m:t>
            </m:r>
            <m:sSub>
              <m:e>
                <m:r>
                  <m:t>X</m:t>
                </m:r>
              </m:e>
              <m:sub>
                <m:r>
                  <m:t>T</m:t>
                </m:r>
                <m:r>
                  <m:rPr>
                    <m:sty m:val="p"/>
                  </m:rPr>
                  <m:t>−</m:t>
                </m:r>
                <m:r>
                  <m:t>1</m:t>
                </m:r>
              </m:sub>
            </m:sSub>
          </m:e>
        </m:d>
      </m:oMath>
    </w:p>
    <w:p>
      <w:pPr>
        <w:numPr>
          <w:ilvl w:val="0"/>
          <w:numId w:val="1006"/>
        </w:numPr>
        <w:pStyle w:val="Compact"/>
      </w:pPr>
      <w:r>
        <w:t xml:space="preserve">Pour obtenir cette région de confiance, nous utilisons les hypothèses que les résidus suivent une loi normale centrée réduite, que la série temporelle est considérée comme stationnaire une fois la différenciation effectuée et qu’elle peut être modélisée par un modèle ARIMA de paramètres (1,1,0)</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71315dca"/>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b3cbbdee"/>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4fbe019a"/>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séries temporelles linéaires</dc:title>
  <dc:creator>Antoine Joubrel et Quentin Menner</dc:creator>
  <cp:keywords/>
  <dcterms:created xsi:type="dcterms:W3CDTF">2022-05-09T19:07:00Z</dcterms:created>
  <dcterms:modified xsi:type="dcterms:W3CDTF">2022-05-09T19:07:00Z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landscape</vt:lpwstr>
  </property>
  <property fmtid="{D5CDD505-2E9C-101B-9397-08002B2CF9AE}" pid="3" name="geometry">
    <vt:lpwstr>left=1.5cm,right=1.5cm,top=2cm,bottom=2cm</vt:lpwstr>
  </property>
  <property fmtid="{D5CDD505-2E9C-101B-9397-08002B2CF9AE}" pid="4" name="output">
    <vt:lpwstr/>
  </property>
</Properties>
</file>