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Note technique — Application VLEP</w:t>
      </w:r>
    </w:p>
    <w:p>
      <w:pPr>
        <w:spacing w:after="40"/>
      </w:pPr>
      <w:r>
        <w:rPr>
          <w:b/>
          <w:bCs/>
        </w:rPr>
        <w:t xml:space="preserve">Émetteur : </w:t>
      </w:r>
      <w:r>
        <w:t xml:space="preserve">Quentin Thomas</w:t>
      </w:r>
    </w:p>
    <w:p>
      <w:pPr>
        <w:spacing w:after="40"/>
      </w:pPr>
      <w:r>
        <w:rPr>
          <w:b/>
          <w:bCs/>
        </w:rPr>
        <w:t xml:space="preserve">Destinataire : </w:t>
      </w:r>
      <w:r>
        <w:t xml:space="preserve">Service informatique</w:t>
      </w:r>
    </w:p>
    <w:p>
      <w:pPr>
        <w:spacing w:after="40"/>
      </w:pPr>
      <w:r>
        <w:rPr>
          <w:b/>
          <w:bCs/>
        </w:rPr>
        <w:t xml:space="preserve">Date : </w:t>
      </w:r>
      <w:r>
        <w:t xml:space="preserve">16/09/2026</w:t>
      </w:r>
    </w:p>
    <w:p>
      <w:pPr>
        <w:spacing w:after="40"/>
      </w:pPr>
      <w:r>
        <w:rPr>
          <w:b/>
          <w:bCs/>
        </w:rPr>
        <w:t xml:space="preserve">Objet : </w:t>
      </w:r>
      <w:r>
        <w:t xml:space="preserve">Anomalies et évolutions identifiées lors des tests de l'application VLEP</w:t>
      </w:r>
    </w:p>
    <w:p>
      <w:pPr>
        <w:spacing w:after="120"/>
      </w:pPr>
    </w:p>
    <w:p>
      <w:pPr>
        <w:spacing w:after="100"/>
      </w:pPr>
      <w:r>
        <w:t xml:space="preserve">Les points ci-dessous ont été vérifiés et précisés par rapport au comportement réellement observé dans l'application. Chaque fiche indique le constat, le comportement attendu, et le type de correction.</w:t>
      </w:r>
    </w:p>
    <w:p>
      <w:pPr>
        <w:pStyle w:val="Heading1"/>
        <w:spacing w:after="120" w:before="200"/>
      </w:pPr>
      <w:r>
        <w:t xml:space="preserve">Synthèse</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
        <w:gridCol w:w="6540"/>
        <w:gridCol w:w="2000"/>
      </w:tblGrid>
      <w:tr>
        <w:tc>
          <w:tcPr>
            <w:tcW w:type="dxa" w:w="500"/>
            <w:shd w:fill="1F3864" w:val="clear"/>
            <w:tcMar>
              <w:top w:type="dxa" w:w="60"/>
              <w:left w:type="dxa" w:w="100"/>
              <w:bottom w:type="dxa" w:w="60"/>
              <w:right w:type="dxa" w:w="100"/>
            </w:tcMar>
            <w:vAlign w:val="center"/>
          </w:tcPr>
          <w:p>
            <w:r>
              <w:rPr>
                <w:b/>
                <w:bCs/>
                <w:color w:val="FFFFFF"/>
                <w:sz w:val="20"/>
                <w:szCs w:val="20"/>
              </w:rPr>
              <w:t xml:space="preserve">N°</w:t>
            </w:r>
          </w:p>
        </w:tc>
        <w:tc>
          <w:tcPr>
            <w:tcW w:type="dxa" w:w="6540"/>
            <w:shd w:fill="1F3864" w:val="clear"/>
            <w:tcMar>
              <w:top w:type="dxa" w:w="60"/>
              <w:left w:type="dxa" w:w="100"/>
              <w:bottom w:type="dxa" w:w="60"/>
              <w:right w:type="dxa" w:w="100"/>
            </w:tcMar>
            <w:vAlign w:val="center"/>
          </w:tcPr>
          <w:p>
            <w:r>
              <w:rPr>
                <w:b/>
                <w:bCs/>
                <w:color w:val="FFFFFF"/>
                <w:sz w:val="20"/>
                <w:szCs w:val="20"/>
              </w:rPr>
              <w:t xml:space="preserve">Sujet</w:t>
            </w:r>
          </w:p>
        </w:tc>
        <w:tc>
          <w:tcPr>
            <w:tcW w:type="dxa" w:w="2000"/>
            <w:shd w:fill="1F3864" w:val="clear"/>
            <w:tcMar>
              <w:top w:type="dxa" w:w="60"/>
              <w:left w:type="dxa" w:w="100"/>
              <w:bottom w:type="dxa" w:w="60"/>
              <w:right w:type="dxa" w:w="100"/>
            </w:tcMar>
            <w:vAlign w:val="center"/>
          </w:tcPr>
          <w:p>
            <w:r>
              <w:rPr>
                <w:b/>
                <w:bCs/>
                <w:color w:val="FFFFFF"/>
                <w:sz w:val="20"/>
                <w:szCs w:val="20"/>
              </w:rPr>
              <w:t xml:space="preserve">Type</w:t>
            </w:r>
          </w:p>
        </w:tc>
      </w:tr>
      <w:tr>
        <w:tc>
          <w:tcPr>
            <w:tcW w:type="dxa" w:w="500"/>
            <w:tcMar>
              <w:top w:type="dxa" w:w="60"/>
              <w:left w:type="dxa" w:w="100"/>
              <w:bottom w:type="dxa" w:w="60"/>
              <w:right w:type="dxa" w:w="100"/>
            </w:tcMar>
            <w:vAlign w:val="center"/>
          </w:tcPr>
          <w:p>
            <w:r>
              <w:rPr>
                <w:b w:val="false"/>
                <w:bCs w:val="false"/>
                <w:sz w:val="20"/>
                <w:szCs w:val="20"/>
              </w:rPr>
              <w:t xml:space="preserve">1</w:t>
            </w:r>
          </w:p>
        </w:tc>
        <w:tc>
          <w:tcPr>
            <w:tcW w:type="dxa" w:w="6540"/>
            <w:tcMar>
              <w:top w:type="dxa" w:w="60"/>
              <w:left w:type="dxa" w:w="100"/>
              <w:bottom w:type="dxa" w:w="60"/>
              <w:right w:type="dxa" w:w="100"/>
            </w:tcMar>
            <w:vAlign w:val="center"/>
          </w:tcPr>
          <w:p>
            <w:r>
              <w:rPr>
                <w:b w:val="false"/>
                <w:bCs w:val="false"/>
                <w:sz w:val="20"/>
                <w:szCs w:val="20"/>
              </w:rPr>
              <w:t xml:space="preserve">Multi-supports pour un même prélèvement (VLEP 8h fractionné)</w:t>
            </w:r>
          </w:p>
        </w:tc>
        <w:tc>
          <w:tcPr>
            <w:tcW w:type="dxa" w:w="2000"/>
            <w:tcMar>
              <w:top w:type="dxa" w:w="60"/>
              <w:left w:type="dxa" w:w="100"/>
              <w:bottom w:type="dxa" w:w="60"/>
              <w:right w:type="dxa" w:w="100"/>
            </w:tcMar>
            <w:vAlign w:val="center"/>
          </w:tcPr>
          <w:p>
            <w:r>
              <w:rPr>
                <w:b w:val="false"/>
                <w:bCs w:val="false"/>
                <w:sz w:val="20"/>
                <w:szCs w:val="20"/>
              </w:rPr>
              <w:t xml:space="preserve">Évolution</w:t>
            </w:r>
          </w:p>
        </w:tc>
      </w:tr>
      <w:tr>
        <w:tc>
          <w:tcPr>
            <w:tcW w:type="dxa" w:w="500"/>
            <w:tcMar>
              <w:top w:type="dxa" w:w="60"/>
              <w:left w:type="dxa" w:w="100"/>
              <w:bottom w:type="dxa" w:w="60"/>
              <w:right w:type="dxa" w:w="100"/>
            </w:tcMar>
            <w:vAlign w:val="center"/>
          </w:tcPr>
          <w:p>
            <w:r>
              <w:rPr>
                <w:b w:val="false"/>
                <w:bCs w:val="false"/>
                <w:sz w:val="20"/>
                <w:szCs w:val="20"/>
              </w:rPr>
              <w:t xml:space="preserve">2</w:t>
            </w:r>
          </w:p>
        </w:tc>
        <w:tc>
          <w:tcPr>
            <w:tcW w:type="dxa" w:w="6540"/>
            <w:tcMar>
              <w:top w:type="dxa" w:w="60"/>
              <w:left w:type="dxa" w:w="100"/>
              <w:bottom w:type="dxa" w:w="60"/>
              <w:right w:type="dxa" w:w="100"/>
            </w:tcMar>
            <w:vAlign w:val="center"/>
          </w:tcPr>
          <w:p>
            <w:r>
              <w:rPr>
                <w:b w:val="false"/>
                <w:bCs w:val="false"/>
                <w:sz w:val="20"/>
                <w:szCs w:val="20"/>
              </w:rPr>
              <w:t xml:space="preserve">Numéro de lot absent pour les blancs</w:t>
            </w:r>
          </w:p>
        </w:tc>
        <w:tc>
          <w:tcPr>
            <w:tcW w:type="dxa" w:w="2000"/>
            <w:tcMar>
              <w:top w:type="dxa" w:w="60"/>
              <w:left w:type="dxa" w:w="100"/>
              <w:bottom w:type="dxa" w:w="60"/>
              <w:right w:type="dxa" w:w="100"/>
            </w:tcMar>
            <w:vAlign w:val="center"/>
          </w:tcPr>
          <w:p>
            <w:r>
              <w:rPr>
                <w:b w:val="false"/>
                <w:bCs w:val="false"/>
                <w:sz w:val="20"/>
                <w:szCs w:val="20"/>
              </w:rPr>
              <w:t xml:space="preserve">Bug confirmé</w:t>
            </w:r>
          </w:p>
        </w:tc>
      </w:tr>
      <w:tr>
        <w:tc>
          <w:tcPr>
            <w:tcW w:type="dxa" w:w="500"/>
            <w:tcMar>
              <w:top w:type="dxa" w:w="60"/>
              <w:left w:type="dxa" w:w="100"/>
              <w:bottom w:type="dxa" w:w="60"/>
              <w:right w:type="dxa" w:w="100"/>
            </w:tcMar>
            <w:vAlign w:val="center"/>
          </w:tcPr>
          <w:p>
            <w:r>
              <w:rPr>
                <w:b w:val="false"/>
                <w:bCs w:val="false"/>
                <w:sz w:val="20"/>
                <w:szCs w:val="20"/>
              </w:rPr>
              <w:t xml:space="preserve">3</w:t>
            </w:r>
          </w:p>
        </w:tc>
        <w:tc>
          <w:tcPr>
            <w:tcW w:type="dxa" w:w="6540"/>
            <w:tcMar>
              <w:top w:type="dxa" w:w="60"/>
              <w:left w:type="dxa" w:w="100"/>
              <w:bottom w:type="dxa" w:w="60"/>
              <w:right w:type="dxa" w:w="100"/>
            </w:tcMar>
            <w:vAlign w:val="center"/>
          </w:tcPr>
          <w:p>
            <w:r>
              <w:rPr>
                <w:b w:val="false"/>
                <w:bCs w:val="false"/>
                <w:sz w:val="20"/>
                <w:szCs w:val="20"/>
              </w:rPr>
              <w:t xml:space="preserve">Écart de mise en forme entre l'export "Reg" et l'export "Non Reg"</w:t>
            </w:r>
          </w:p>
        </w:tc>
        <w:tc>
          <w:tcPr>
            <w:tcW w:type="dxa" w:w="2000"/>
            <w:tcMar>
              <w:top w:type="dxa" w:w="60"/>
              <w:left w:type="dxa" w:w="100"/>
              <w:bottom w:type="dxa" w:w="60"/>
              <w:right w:type="dxa" w:w="100"/>
            </w:tcMar>
            <w:vAlign w:val="center"/>
          </w:tcPr>
          <w:p>
            <w:r>
              <w:rPr>
                <w:b w:val="false"/>
                <w:bCs w:val="false"/>
                <w:sz w:val="20"/>
                <w:szCs w:val="20"/>
              </w:rPr>
              <w:t xml:space="preserve">Bug probable</w:t>
            </w:r>
          </w:p>
        </w:tc>
      </w:tr>
      <w:tr>
        <w:tc>
          <w:tcPr>
            <w:tcW w:type="dxa" w:w="500"/>
            <w:tcMar>
              <w:top w:type="dxa" w:w="60"/>
              <w:left w:type="dxa" w:w="100"/>
              <w:bottom w:type="dxa" w:w="60"/>
              <w:right w:type="dxa" w:w="100"/>
            </w:tcMar>
            <w:vAlign w:val="center"/>
          </w:tcPr>
          <w:p>
            <w:r>
              <w:rPr>
                <w:b w:val="false"/>
                <w:bCs w:val="false"/>
                <w:sz w:val="20"/>
                <w:szCs w:val="20"/>
              </w:rPr>
              <w:t xml:space="preserve">4</w:t>
            </w:r>
          </w:p>
        </w:tc>
        <w:tc>
          <w:tcPr>
            <w:tcW w:type="dxa" w:w="6540"/>
            <w:tcMar>
              <w:top w:type="dxa" w:w="60"/>
              <w:left w:type="dxa" w:w="100"/>
              <w:bottom w:type="dxa" w:w="60"/>
              <w:right w:type="dxa" w:w="100"/>
            </w:tcMar>
            <w:vAlign w:val="center"/>
          </w:tcPr>
          <w:p>
            <w:r>
              <w:rPr>
                <w:b w:val="false"/>
                <w:bCs w:val="false"/>
                <w:sz w:val="20"/>
                <w:szCs w:val="20"/>
              </w:rPr>
              <w:t xml:space="preserve">Mise en forme de l'export Excel vs feuille de calcul de référence</w:t>
            </w:r>
          </w:p>
        </w:tc>
        <w:tc>
          <w:tcPr>
            <w:tcW w:type="dxa" w:w="2000"/>
            <w:tcMar>
              <w:top w:type="dxa" w:w="60"/>
              <w:left w:type="dxa" w:w="100"/>
              <w:bottom w:type="dxa" w:w="60"/>
              <w:right w:type="dxa" w:w="100"/>
            </w:tcMar>
            <w:vAlign w:val="center"/>
          </w:tcPr>
          <w:p>
            <w:r>
              <w:rPr>
                <w:b w:val="false"/>
                <w:bCs w:val="false"/>
                <w:sz w:val="20"/>
                <w:szCs w:val="20"/>
              </w:rPr>
              <w:t xml:space="preserve">À préciser</w:t>
            </w:r>
          </w:p>
        </w:tc>
      </w:tr>
      <w:tr>
        <w:tc>
          <w:tcPr>
            <w:tcW w:type="dxa" w:w="500"/>
            <w:tcMar>
              <w:top w:type="dxa" w:w="60"/>
              <w:left w:type="dxa" w:w="100"/>
              <w:bottom w:type="dxa" w:w="60"/>
              <w:right w:type="dxa" w:w="100"/>
            </w:tcMar>
            <w:vAlign w:val="center"/>
          </w:tcPr>
          <w:p>
            <w:r>
              <w:rPr>
                <w:b w:val="false"/>
                <w:bCs w:val="false"/>
                <w:sz w:val="20"/>
                <w:szCs w:val="20"/>
              </w:rPr>
              <w:t xml:space="preserve">5</w:t>
            </w:r>
          </w:p>
        </w:tc>
        <w:tc>
          <w:tcPr>
            <w:tcW w:type="dxa" w:w="6540"/>
            <w:tcMar>
              <w:top w:type="dxa" w:w="60"/>
              <w:left w:type="dxa" w:w="100"/>
              <w:bottom w:type="dxa" w:w="60"/>
              <w:right w:type="dxa" w:w="100"/>
            </w:tcMar>
            <w:vAlign w:val="center"/>
          </w:tcPr>
          <w:p>
            <w:r>
              <w:rPr>
                <w:b w:val="false"/>
                <w:bCs w:val="false"/>
                <w:sz w:val="20"/>
                <w:szCs w:val="20"/>
              </w:rPr>
              <w:t xml:space="preserve">Avertissement d'écart de débit sans marge de tolérance</w:t>
            </w:r>
          </w:p>
        </w:tc>
        <w:tc>
          <w:tcPr>
            <w:tcW w:type="dxa" w:w="2000"/>
            <w:tcMar>
              <w:top w:type="dxa" w:w="60"/>
              <w:left w:type="dxa" w:w="100"/>
              <w:bottom w:type="dxa" w:w="60"/>
              <w:right w:type="dxa" w:w="100"/>
            </w:tcMar>
            <w:vAlign w:val="center"/>
          </w:tcPr>
          <w:p>
            <w:r>
              <w:rPr>
                <w:b w:val="false"/>
                <w:bCs w:val="false"/>
                <w:sz w:val="20"/>
                <w:szCs w:val="20"/>
              </w:rPr>
              <w:t xml:space="preserve">Bug confirmé</w:t>
            </w:r>
          </w:p>
        </w:tc>
      </w:tr>
      <w:tr>
        <w:tc>
          <w:tcPr>
            <w:tcW w:type="dxa" w:w="500"/>
            <w:tcMar>
              <w:top w:type="dxa" w:w="60"/>
              <w:left w:type="dxa" w:w="100"/>
              <w:bottom w:type="dxa" w:w="60"/>
              <w:right w:type="dxa" w:w="100"/>
            </w:tcMar>
            <w:vAlign w:val="center"/>
          </w:tcPr>
          <w:p>
            <w:r>
              <w:rPr>
                <w:b w:val="false"/>
                <w:bCs w:val="false"/>
                <w:sz w:val="20"/>
                <w:szCs w:val="20"/>
              </w:rPr>
              <w:t xml:space="preserve">6</w:t>
            </w:r>
          </w:p>
        </w:tc>
        <w:tc>
          <w:tcPr>
            <w:tcW w:type="dxa" w:w="6540"/>
            <w:tcMar>
              <w:top w:type="dxa" w:w="60"/>
              <w:left w:type="dxa" w:w="100"/>
              <w:bottom w:type="dxa" w:w="60"/>
              <w:right w:type="dxa" w:w="100"/>
            </w:tcMar>
            <w:vAlign w:val="center"/>
          </w:tcPr>
          <w:p>
            <w:r>
              <w:rPr>
                <w:b w:val="false"/>
                <w:bCs w:val="false"/>
                <w:sz w:val="20"/>
                <w:szCs w:val="20"/>
              </w:rPr>
              <w:t xml:space="preserve">Type de débitmètre non distingué (massique / lame de savon-piston)</w:t>
            </w:r>
          </w:p>
        </w:tc>
        <w:tc>
          <w:tcPr>
            <w:tcW w:type="dxa" w:w="2000"/>
            <w:tcMar>
              <w:top w:type="dxa" w:w="60"/>
              <w:left w:type="dxa" w:w="100"/>
              <w:bottom w:type="dxa" w:w="60"/>
              <w:right w:type="dxa" w:w="100"/>
            </w:tcMar>
            <w:vAlign w:val="center"/>
          </w:tcPr>
          <w:p>
            <w:r>
              <w:rPr>
                <w:b w:val="false"/>
                <w:bCs w:val="false"/>
                <w:sz w:val="20"/>
                <w:szCs w:val="20"/>
              </w:rPr>
              <w:t xml:space="preserve">Bug confirmé</w:t>
            </w:r>
          </w:p>
        </w:tc>
      </w:tr>
      <w:tr>
        <w:tc>
          <w:tcPr>
            <w:tcW w:type="dxa" w:w="500"/>
            <w:tcMar>
              <w:top w:type="dxa" w:w="60"/>
              <w:left w:type="dxa" w:w="100"/>
              <w:bottom w:type="dxa" w:w="60"/>
              <w:right w:type="dxa" w:w="100"/>
            </w:tcMar>
            <w:vAlign w:val="center"/>
          </w:tcPr>
          <w:p>
            <w:r>
              <w:rPr>
                <w:b w:val="false"/>
                <w:bCs w:val="false"/>
                <w:sz w:val="20"/>
                <w:szCs w:val="20"/>
              </w:rPr>
              <w:t xml:space="preserve">7</w:t>
            </w:r>
          </w:p>
        </w:tc>
        <w:tc>
          <w:tcPr>
            <w:tcW w:type="dxa" w:w="6540"/>
            <w:tcMar>
              <w:top w:type="dxa" w:w="60"/>
              <w:left w:type="dxa" w:w="100"/>
              <w:bottom w:type="dxa" w:w="60"/>
              <w:right w:type="dxa" w:w="100"/>
            </w:tcMar>
            <w:vAlign w:val="center"/>
          </w:tcPr>
          <w:p>
            <w:r>
              <w:rPr>
                <w:b w:val="false"/>
                <w:bCs w:val="false"/>
                <w:sz w:val="20"/>
                <w:szCs w:val="20"/>
              </w:rPr>
              <w:t xml:space="preserve">Icônes surdimensionnées dans l'aperçu de la Prépa automatique (devis)</w:t>
            </w:r>
          </w:p>
        </w:tc>
        <w:tc>
          <w:tcPr>
            <w:tcW w:type="dxa" w:w="2000"/>
            <w:tcMar>
              <w:top w:type="dxa" w:w="60"/>
              <w:left w:type="dxa" w:w="100"/>
              <w:bottom w:type="dxa" w:w="60"/>
              <w:right w:type="dxa" w:w="100"/>
            </w:tcMar>
            <w:vAlign w:val="center"/>
          </w:tcPr>
          <w:p>
            <w:r>
              <w:rPr>
                <w:b w:val="false"/>
                <w:bCs w:val="false"/>
                <w:sz w:val="20"/>
                <w:szCs w:val="20"/>
              </w:rPr>
              <w:t xml:space="preserve">Bug confirmé</w:t>
            </w:r>
          </w:p>
        </w:tc>
      </w:tr>
      <w:tr>
        <w:tc>
          <w:tcPr>
            <w:tcW w:type="dxa" w:w="500"/>
            <w:tcMar>
              <w:top w:type="dxa" w:w="60"/>
              <w:left w:type="dxa" w:w="100"/>
              <w:bottom w:type="dxa" w:w="60"/>
              <w:right w:type="dxa" w:w="100"/>
            </w:tcMar>
            <w:vAlign w:val="center"/>
          </w:tcPr>
          <w:p>
            <w:r>
              <w:rPr>
                <w:b w:val="false"/>
                <w:bCs w:val="false"/>
                <w:sz w:val="20"/>
                <w:szCs w:val="20"/>
              </w:rPr>
              <w:t xml:space="preserve">8</w:t>
            </w:r>
          </w:p>
        </w:tc>
        <w:tc>
          <w:tcPr>
            <w:tcW w:type="dxa" w:w="6540"/>
            <w:tcMar>
              <w:top w:type="dxa" w:w="60"/>
              <w:left w:type="dxa" w:w="100"/>
              <w:bottom w:type="dxa" w:w="60"/>
              <w:right w:type="dxa" w:w="100"/>
            </w:tcMar>
            <w:vAlign w:val="center"/>
          </w:tcPr>
          <w:p>
            <w:r>
              <w:rPr>
                <w:b w:val="false"/>
                <w:bCs w:val="false"/>
                <w:sz w:val="20"/>
                <w:szCs w:val="20"/>
              </w:rPr>
              <w:t xml:space="preserve">Conditions ambiantes mal associées sur une mission de plusieurs jours</w:t>
            </w:r>
          </w:p>
        </w:tc>
        <w:tc>
          <w:tcPr>
            <w:tcW w:type="dxa" w:w="2000"/>
            <w:tcMar>
              <w:top w:type="dxa" w:w="60"/>
              <w:left w:type="dxa" w:w="100"/>
              <w:bottom w:type="dxa" w:w="60"/>
              <w:right w:type="dxa" w:w="100"/>
            </w:tcMar>
            <w:vAlign w:val="center"/>
          </w:tcPr>
          <w:p>
            <w:r>
              <w:rPr>
                <w:b w:val="false"/>
                <w:bCs w:val="false"/>
                <w:sz w:val="20"/>
                <w:szCs w:val="20"/>
              </w:rPr>
              <w:t xml:space="preserve">Bug confirmé</w:t>
            </w:r>
          </w:p>
        </w:tc>
      </w:tr>
      <w:tr>
        <w:tc>
          <w:tcPr>
            <w:tcW w:type="dxa" w:w="500"/>
            <w:tcMar>
              <w:top w:type="dxa" w:w="60"/>
              <w:left w:type="dxa" w:w="100"/>
              <w:bottom w:type="dxa" w:w="60"/>
              <w:right w:type="dxa" w:w="100"/>
            </w:tcMar>
            <w:vAlign w:val="center"/>
          </w:tcPr>
          <w:p>
            <w:r>
              <w:rPr>
                <w:b w:val="false"/>
                <w:bCs w:val="false"/>
                <w:sz w:val="20"/>
                <w:szCs w:val="20"/>
              </w:rPr>
              <w:t xml:space="preserve">9</w:t>
            </w:r>
          </w:p>
        </w:tc>
        <w:tc>
          <w:tcPr>
            <w:tcW w:type="dxa" w:w="6540"/>
            <w:tcMar>
              <w:top w:type="dxa" w:w="60"/>
              <w:left w:type="dxa" w:w="100"/>
              <w:bottom w:type="dxa" w:w="60"/>
              <w:right w:type="dxa" w:w="100"/>
            </w:tcMar>
            <w:vAlign w:val="center"/>
          </w:tcPr>
          <w:p>
            <w:r>
              <w:rPr>
                <w:b w:val="false"/>
                <w:bCs w:val="false"/>
                <w:sz w:val="20"/>
                <w:szCs w:val="20"/>
              </w:rPr>
              <w:t xml:space="preserve">Référence du blanc mal associée si plusieurs blancs existent pour un même agent</w:t>
            </w:r>
          </w:p>
        </w:tc>
        <w:tc>
          <w:tcPr>
            <w:tcW w:type="dxa" w:w="2000"/>
            <w:tcMar>
              <w:top w:type="dxa" w:w="60"/>
              <w:left w:type="dxa" w:w="100"/>
              <w:bottom w:type="dxa" w:w="60"/>
              <w:right w:type="dxa" w:w="100"/>
            </w:tcMar>
            <w:vAlign w:val="center"/>
          </w:tcPr>
          <w:p>
            <w:r>
              <w:rPr>
                <w:b w:val="false"/>
                <w:bCs w:val="false"/>
                <w:sz w:val="20"/>
                <w:szCs w:val="20"/>
              </w:rPr>
              <w:t xml:space="preserve">Bug confirmé</w:t>
            </w:r>
          </w:p>
        </w:tc>
      </w:tr>
      <w:tr>
        <w:tc>
          <w:tcPr>
            <w:tcW w:type="dxa" w:w="500"/>
            <w:tcMar>
              <w:top w:type="dxa" w:w="60"/>
              <w:left w:type="dxa" w:w="100"/>
              <w:bottom w:type="dxa" w:w="60"/>
              <w:right w:type="dxa" w:w="100"/>
            </w:tcMar>
            <w:vAlign w:val="center"/>
          </w:tcPr>
          <w:p>
            <w:r>
              <w:rPr>
                <w:b w:val="false"/>
                <w:bCs w:val="false"/>
                <w:sz w:val="20"/>
                <w:szCs w:val="20"/>
              </w:rPr>
              <w:t xml:space="preserve">10</w:t>
            </w:r>
          </w:p>
        </w:tc>
        <w:tc>
          <w:tcPr>
            <w:tcW w:type="dxa" w:w="6540"/>
            <w:tcMar>
              <w:top w:type="dxa" w:w="60"/>
              <w:left w:type="dxa" w:w="100"/>
              <w:bottom w:type="dxa" w:w="60"/>
              <w:right w:type="dxa" w:w="100"/>
            </w:tcMar>
            <w:vAlign w:val="center"/>
          </w:tcPr>
          <w:p>
            <w:r>
              <w:rPr>
                <w:b w:val="false"/>
                <w:bCs w:val="false"/>
                <w:sz w:val="20"/>
                <w:szCs w:val="20"/>
              </w:rPr>
              <w:t xml:space="preserve">Blancs sans référence saisie qui se mélangent dans la liste "Échantillons"</w:t>
            </w:r>
          </w:p>
        </w:tc>
        <w:tc>
          <w:tcPr>
            <w:tcW w:type="dxa" w:w="2000"/>
            <w:tcMar>
              <w:top w:type="dxa" w:w="60"/>
              <w:left w:type="dxa" w:w="100"/>
              <w:bottom w:type="dxa" w:w="60"/>
              <w:right w:type="dxa" w:w="100"/>
            </w:tcMar>
            <w:vAlign w:val="center"/>
          </w:tcPr>
          <w:p>
            <w:r>
              <w:rPr>
                <w:b w:val="false"/>
                <w:bCs w:val="false"/>
                <w:sz w:val="20"/>
                <w:szCs w:val="20"/>
              </w:rPr>
              <w:t xml:space="preserve">Bug confirmé</w:t>
            </w:r>
          </w:p>
        </w:tc>
      </w:tr>
      <w:tr>
        <w:tc>
          <w:tcPr>
            <w:tcW w:type="dxa" w:w="500"/>
            <w:tcMar>
              <w:top w:type="dxa" w:w="60"/>
              <w:left w:type="dxa" w:w="100"/>
              <w:bottom w:type="dxa" w:w="60"/>
              <w:right w:type="dxa" w:w="100"/>
            </w:tcMar>
            <w:vAlign w:val="center"/>
          </w:tcPr>
          <w:p>
            <w:r>
              <w:rPr>
                <w:b w:val="false"/>
                <w:bCs w:val="false"/>
                <w:sz w:val="20"/>
                <w:szCs w:val="20"/>
              </w:rPr>
              <w:t xml:space="preserve">11</w:t>
            </w:r>
          </w:p>
        </w:tc>
        <w:tc>
          <w:tcPr>
            <w:tcW w:type="dxa" w:w="6540"/>
            <w:tcMar>
              <w:top w:type="dxa" w:w="60"/>
              <w:left w:type="dxa" w:w="100"/>
              <w:bottom w:type="dxa" w:w="60"/>
              <w:right w:type="dxa" w:w="100"/>
            </w:tcMar>
            <w:vAlign w:val="center"/>
          </w:tcPr>
          <w:p>
            <w:r>
              <w:rPr>
                <w:b w:val="false"/>
                <w:bCs w:val="false"/>
                <w:sz w:val="20"/>
                <w:szCs w:val="20"/>
              </w:rPr>
              <w:t xml:space="preserve">Chronomètre CT perdu si l'appli se recharge ou se met en veille</w:t>
            </w:r>
          </w:p>
        </w:tc>
        <w:tc>
          <w:tcPr>
            <w:tcW w:type="dxa" w:w="2000"/>
            <w:tcMar>
              <w:top w:type="dxa" w:w="60"/>
              <w:left w:type="dxa" w:w="100"/>
              <w:bottom w:type="dxa" w:w="60"/>
              <w:right w:type="dxa" w:w="100"/>
            </w:tcMar>
            <w:vAlign w:val="center"/>
          </w:tcPr>
          <w:p>
            <w:r>
              <w:rPr>
                <w:b w:val="false"/>
                <w:bCs w:val="false"/>
                <w:sz w:val="20"/>
                <w:szCs w:val="20"/>
              </w:rPr>
              <w:t xml:space="preserve">Bug confirmé</w:t>
            </w:r>
          </w:p>
        </w:tc>
      </w:tr>
    </w:tbl>
    <w:p>
      <w:pPr>
        <w:spacing w:after="200"/>
      </w:pPr>
    </w:p>
    <w:p>
      <w:pPr>
        <w:pStyle w:val="Heading1"/>
        <w:spacing w:after="120" w:before="200"/>
      </w:pPr>
      <w:r>
        <w:t xml:space="preserve">Détail des anomalies et évolutions</w:t>
      </w:r>
    </w:p>
    <w:p>
      <w:pPr>
        <w:pStyle w:val="Heading2"/>
        <w:spacing w:after="100" w:before="260"/>
      </w:pPr>
      <w:r>
        <w:t xml:space="preserve">1. Multi-supports pour un même prélèvement (VLEP 8h fractionné)</w:t>
      </w:r>
    </w:p>
    <w:p>
      <w:pPr>
        <w:spacing w:after="80"/>
      </w:pPr>
      <w:r>
        <w:rPr>
          <w:b/>
          <w:bCs/>
        </w:rPr>
        <w:t xml:space="preserve">Constat : </w:t>
      </w:r>
      <w:r>
        <w:t xml:space="preserve">Pour un prélèvement, un agent n'a droit qu'à un seul support/échantillon. Impossible de scinder un prélèvement en plusieurs supports successifs (ex : 3 x 2h = 3 supports) pour une même mesure.</w:t>
      </w:r>
    </w:p>
    <w:p>
      <w:pPr>
        <w:spacing w:after="80"/>
      </w:pPr>
      <w:r>
        <w:rPr>
          <w:b/>
          <w:bCs/>
        </w:rPr>
        <w:t xml:space="preserve">Comportement attendu : </w:t>
      </w:r>
      <w:r>
        <w:t xml:space="preserve">Pouvoir ajouter plusieurs échantillons/supports pour un même agent au sein d'un même prélèvement, sur le même principe que l'ajout de plages horaires (déjà possible aujourd'hui, jusqu'à 10 plages). Chaque support doit générer sa propre ligne dans l'export analytique labo.</w:t>
      </w:r>
    </w:p>
    <w:p>
      <w:pPr>
        <w:spacing w:after="80"/>
      </w:pPr>
      <w:r>
        <w:rPr>
          <w:b/>
          <w:bCs/>
        </w:rPr>
        <w:t xml:space="preserve">Type : </w:t>
      </w:r>
      <w:r>
        <w:t xml:space="preserve">Évolution fonctionnelle — touche la saisie terrain et l'export. Impact modéré à élevé.</w:t>
      </w:r>
    </w:p>
    <w:p>
      <w:pPr>
        <w:pStyle w:val="Heading2"/>
        <w:spacing w:after="100" w:before="260"/>
      </w:pPr>
      <w:r>
        <w:t xml:space="preserve">2. Numéro de lot absent pour les blancs</w:t>
      </w:r>
    </w:p>
    <w:p>
      <w:pPr>
        <w:spacing w:after="80"/>
      </w:pPr>
      <w:r>
        <w:rPr>
          <w:b/>
          <w:bCs/>
        </w:rPr>
        <w:t xml:space="preserve">Constat : </w:t>
      </w:r>
      <w:r>
        <w:t xml:space="preserve">L'export Excel destiné au labo prévoit bien une colonne "Numéro de lot", mais elle ressort toujours vide. Il n'existe aucun champ de saisie "numéro de lot" dans l'application, ni pour les blancs terrain ni ailleurs.</w:t>
      </w:r>
    </w:p>
    <w:p>
      <w:pPr>
        <w:spacing w:after="80"/>
      </w:pPr>
      <w:r>
        <w:rPr>
          <w:b/>
          <w:bCs/>
        </w:rPr>
        <w:t xml:space="preserve">Comportement attendu : </w:t>
      </w:r>
      <w:r>
        <w:t xml:space="preserve">Ajouter un champ "N° de lot" sur la saisie des blancs terrain, afin qu'il remonte dans l'Excel labo et dans la feuille de calcul pour la substance correspondante. Pour les échantillons gravimétriques, la notion de "lot" (lot de filtres) est à cadrer séparément.</w:t>
      </w:r>
    </w:p>
    <w:p>
      <w:pPr>
        <w:spacing w:after="80"/>
      </w:pPr>
      <w:r>
        <w:rPr>
          <w:b/>
          <w:bCs/>
        </w:rPr>
        <w:t xml:space="preserve">Type : </w:t>
      </w:r>
      <w:r>
        <w:t xml:space="preserve">Bug confirmé (colonne prévue à l'export mais jamais alimentée) — correction simple pour les blancs.</w:t>
      </w:r>
    </w:p>
    <w:p>
      <w:pPr>
        <w:pStyle w:val="Heading2"/>
        <w:spacing w:after="100" w:before="260"/>
      </w:pPr>
      <w:r>
        <w:t xml:space="preserve">3. Écart de mise en forme entre l'export "Reg" et l'export "Non Reg"</w:t>
      </w:r>
    </w:p>
    <w:p>
      <w:pPr>
        <w:spacing w:after="80"/>
      </w:pPr>
      <w:r>
        <w:rPr>
          <w:b/>
          <w:bCs/>
        </w:rPr>
        <w:t xml:space="preserve">Constat : </w:t>
      </w:r>
      <w:r>
        <w:t xml:space="preserve">Les deux exports (réglementaire et non réglementaire) n'ont pas la même structure. Deux écarts concrets identifiés : (1) l'export Non Reg ne comporte pas de ligne "GEH" ni de ligne "opérateur" en haut de tableau, contrairement au Reg ; (2) l'export Non Reg répète à six reprises une ligne "Prélèvement n°" qui n'existe nulle part dans le Reg, ce qui décale son nombre de lignes par rapport au Reg.</w:t>
      </w:r>
    </w:p>
    <w:p>
      <w:pPr>
        <w:spacing w:after="80"/>
      </w:pPr>
      <w:r>
        <w:rPr>
          <w:b/>
          <w:bCs/>
        </w:rPr>
        <w:t xml:space="preserve">Comportement attendu : </w:t>
      </w:r>
      <w:r>
        <w:t xml:space="preserve">À clarifier avec l'informatique : ces écarts sont-ils voulus (les deux exports n'ayant pas le même usage), ou est-ce un oubli lors d'une évolution de l'un des deux sans répercussion sur l'autre ? Dans les deux cas, la mise en forme (quelles cases sont fusionnées, ligne par ligne) semble calculée indépendamment pour chaque export plutôt que dérivée d'un même gabarit — toute évolution de l'un sans répercuter sur l'autre décale silencieusement l'affichage. C'est très probablement l'origine du problème remonté.</w:t>
      </w:r>
    </w:p>
    <w:p>
      <w:pPr>
        <w:spacing w:after="80"/>
      </w:pPr>
      <w:r>
        <w:rPr>
          <w:b/>
          <w:bCs/>
        </w:rPr>
        <w:t xml:space="preserve">Type : </w:t>
      </w:r>
      <w:r>
        <w:t xml:space="preserve">Bug probable / dette technique. Je n'ai pas pu comparer un export réel côté à côté avec le fichier réglementaire de référence — un export récent + le fichier modèle attendu permettraient de lister précisément les lignes manquantes et les cases mal fusionnées.</w:t>
      </w:r>
    </w:p>
    <w:p>
      <w:pPr>
        <w:pStyle w:val="Heading2"/>
        <w:spacing w:after="100" w:before="260"/>
      </w:pPr>
      <w:r>
        <w:t xml:space="preserve">4. Mise en forme de l'export Excel vs feuille de calcul de référence</w:t>
      </w:r>
    </w:p>
    <w:p>
      <w:pPr>
        <w:spacing w:after="80"/>
      </w:pPr>
      <w:r>
        <w:rPr>
          <w:b/>
          <w:bCs/>
        </w:rPr>
        <w:t xml:space="preserve">Constat : </w:t>
      </w:r>
      <w:r>
        <w:t xml:space="preserve">Signalé comme non fidèle à la feuille de calcul, mais sans exemple précis disponible pour l'instant.</w:t>
      </w:r>
    </w:p>
    <w:p>
      <w:pPr>
        <w:spacing w:after="80"/>
      </w:pPr>
      <w:r>
        <w:rPr>
          <w:b/>
          <w:bCs/>
        </w:rPr>
        <w:t xml:space="preserve">Comportement attendu : </w:t>
      </w:r>
      <w:r>
        <w:t xml:space="preserve">Alignement de la présentation de l'export sur la feuille de calcul de référence.</w:t>
      </w:r>
    </w:p>
    <w:p>
      <w:pPr>
        <w:spacing w:after="80"/>
      </w:pPr>
      <w:r>
        <w:rPr>
          <w:b/>
          <w:bCs/>
        </w:rPr>
        <w:t xml:space="preserve">Type : </w:t>
      </w:r>
      <w:r>
        <w:t xml:space="preserve">En attente d'éléments — nécessite une comparaison directe entre un export généré et la feuille de calcul de référence pour documenter les écarts précis avant transmission.</w:t>
      </w:r>
    </w:p>
    <w:p>
      <w:pPr>
        <w:pStyle w:val="Heading2"/>
        <w:spacing w:after="100" w:before="260"/>
      </w:pPr>
      <w:r>
        <w:t xml:space="preserve">5. Avertissement d'écart de débit sans marge de tolérance</w:t>
      </w:r>
    </w:p>
    <w:p>
      <w:pPr>
        <w:spacing w:after="80"/>
      </w:pPr>
      <w:r>
        <w:rPr>
          <w:b/>
          <w:bCs/>
        </w:rPr>
        <w:t xml:space="preserve">Constat : </w:t>
      </w:r>
      <w:r>
        <w:t xml:space="preserve">Deux avertissements distincts existent, ce qui prête à confusion : (a) un premier compare le débit initial et le débit final de la même mesure, et alerte si l'écart dépasse 5 % — c'est le contrôle "&lt; 5 %" affiché à l'export ; (b) un second compare chaque débit saisi à un seuil minimum/maximum fixe propre à la substance, sans aucune marge de tolérance. C'est ce second contrôle qui explique ton exemple : si le débit minimal recommandé est 2 L/min, toute valeur en dessous (même 1,998) est immédiatement signalée "hors plage", sans marge.</w:t>
      </w:r>
    </w:p>
    <w:p>
      <w:pPr>
        <w:spacing w:after="80"/>
      </w:pPr>
      <w:r>
        <w:rPr>
          <w:b/>
          <w:bCs/>
        </w:rPr>
        <w:t xml:space="preserve">Comportement attendu : </w:t>
      </w:r>
      <w:r>
        <w:t xml:space="preserve">Revoir le codage pour appliquer l'avertissement de la façon suivante : calculer la moyenne du débit initial et du débit final, puis comparer cette moyenne au débit attendu (débit demandé/de consigne) avec une marge de tolérance de ± 5 %. Avertir uniquement si cette moyenne sort de la plage ainsi définie — et non, comme aujourd'hui, dès qu'une valeur brute passe sous le seuil minimum recommandé sans aucune marge.</w:t>
      </w:r>
    </w:p>
    <w:p>
      <w:pPr>
        <w:spacing w:after="80"/>
      </w:pPr>
      <w:r>
        <w:rPr>
          <w:b/>
          <w:bCs/>
        </w:rPr>
        <w:t xml:space="preserve">Type : </w:t>
      </w:r>
      <w:r>
        <w:t xml:space="preserve">Bug de logique métier confirmé (seuil appliqué sans tolérance). Sur le point des décimales (0,001), je n'ai pas pu reproduire de troncature — un exemple concret (valeur saisie / valeur affichée ou exportée) aiderait à cerner ce sous-point.</w:t>
      </w:r>
    </w:p>
    <w:p>
      <w:pPr>
        <w:pStyle w:val="Heading2"/>
        <w:spacing w:after="100" w:before="260"/>
      </w:pPr>
      <w:r>
        <w:t xml:space="preserve">6. Type de débitmètre non distingué (massique / lame de savon-piston)</w:t>
      </w:r>
    </w:p>
    <w:p>
      <w:pPr>
        <w:spacing w:after="80"/>
      </w:pPr>
      <w:r>
        <w:rPr>
          <w:b/>
          <w:bCs/>
        </w:rPr>
        <w:t xml:space="preserve">Constat : </w:t>
      </w:r>
      <w:r>
        <w:t xml:space="preserve">Le modèle Excel prévoit deux blocs de vérification de débit bien distincts : un pour débitmètre massique, un pour débitmètre à lame de savon ou à piston. Or l'application ne capture qu'une référence d'appareil en texte libre, sans aucune notion de type d'appareil. L'export ne peut donc pas déterminer le bon bloc à remplir, et remplit systématiquement celui du massique.</w:t>
      </w:r>
    </w:p>
    <w:p>
      <w:pPr>
        <w:spacing w:after="80"/>
      </w:pPr>
      <w:r>
        <w:rPr>
          <w:b/>
          <w:bCs/>
        </w:rPr>
        <w:t xml:space="preserve">Comportement attendu : </w:t>
      </w:r>
      <w:r>
        <w:t xml:space="preserve">Ajouter un choix de type de débitmètre (massique / à bulle-piston) au moment de la saisie de sa référence, afin de router automatiquement les valeurs vers le bon bloc à l'export.</w:t>
      </w:r>
    </w:p>
    <w:p>
      <w:pPr>
        <w:spacing w:after="80"/>
      </w:pPr>
      <w:r>
        <w:rPr>
          <w:b/>
          <w:bCs/>
        </w:rPr>
        <w:t xml:space="preserve">Type : </w:t>
      </w:r>
      <w:r>
        <w:t xml:space="preserve">Évolution fonctionnelle confirmée — nécessaire pour que l'export soit correct.</w:t>
      </w:r>
    </w:p>
    <w:p>
      <w:pPr>
        <w:pStyle w:val="Heading2"/>
        <w:spacing w:after="100" w:before="260"/>
      </w:pPr>
      <w:r>
        <w:t xml:space="preserve">7. Icônes surdimensionnées dans l'aperçu de la Prépa automatique (devis)</w:t>
      </w:r>
    </w:p>
    <w:p>
      <w:pPr>
        <w:spacing w:after="80"/>
      </w:pPr>
      <w:r>
        <w:rPr>
          <w:b/>
          <w:bCs/>
        </w:rPr>
        <w:t xml:space="preserve">Constat : </w:t>
      </w:r>
      <w:r>
        <w:t xml:space="preserve">Dans l'aperçu affiché après clic sur "Analyser le devis" (Prépa automatique), deux icônes (dossier GEH, bécher agents) s'affichent sans l'habillage qui limite habituellement leur taille partout ailleurs dans l'application. Elles ressortent donc à la taille par défaut du navigateur pour une image non contrainte, nettement plus grande — d'où les icônes surdimensionnées à l'écran. Sur ce même écran, plusieurs caractères s'affichent mal encodés en "?" (probablement un symbole "×" ou une puce d'origine) et méritent d'être corrigés en même temps.</w:t>
      </w:r>
    </w:p>
    <w:p>
      <w:pPr>
        <w:spacing w:after="80"/>
      </w:pPr>
      <w:r>
        <w:rPr>
          <w:b/>
          <w:bCs/>
        </w:rPr>
        <w:t xml:space="preserve">Comportement attendu : </w:t>
      </w:r>
      <w:r>
        <w:t xml:space="preserve">Appliquer le même habillage/dimensionnement que pour les autres icônes de l'application, et corriger l'encodage des caractères "?" sur cet écran.</w:t>
      </w:r>
    </w:p>
    <w:p>
      <w:pPr>
        <w:spacing w:after="80"/>
      </w:pPr>
      <w:r>
        <w:rPr>
          <w:b/>
          <w:bCs/>
        </w:rPr>
        <w:t xml:space="preserve">Type : </w:t>
      </w:r>
      <w:r>
        <w:t xml:space="preserve">Bug confirmé — correction simple et localisée à cet écran.</w:t>
      </w:r>
    </w:p>
    <w:p>
      <w:pPr>
        <w:pStyle w:val="Heading2"/>
        <w:spacing w:after="100" w:before="260"/>
      </w:pPr>
      <w:r>
        <w:t xml:space="preserve">8. Conditions ambiantes mal associées sur une mission de plusieurs jours</w:t>
      </w:r>
    </w:p>
    <w:p>
      <w:pPr>
        <w:spacing w:after="80"/>
      </w:pPr>
      <w:r>
        <w:rPr>
          <w:b/>
          <w:bCs/>
        </w:rPr>
        <w:t xml:space="preserve">Constat : </w:t>
      </w:r>
      <w:r>
        <w:t xml:space="preserve">Quand les conditions ambiantes (température/pression/humidité) n'ont pas été saisies pour le jour exact d'un prélèvement (jour manquant, ou pas encore rempli), l'export ne laisse pas la case vide : il reprend silencieusement les conditions du tout premier jour de la mission et les applique à ce prélèvement, sans aucun avertissement.</w:t>
      </w:r>
    </w:p>
    <w:p>
      <w:pPr>
        <w:spacing w:after="80"/>
      </w:pPr>
      <w:r>
        <w:rPr>
          <w:b/>
          <w:bCs/>
        </w:rPr>
        <w:t xml:space="preserve">Comportement attendu : </w:t>
      </w:r>
      <w:r>
        <w:t xml:space="preserve">Si aucune condition ambiante n'existe pour le jour du prélèvement, laisser la case vide (ou signaler clairement l'anomalie) plutôt que de réutiliser silencieusement celles d'un autre jour.</w:t>
      </w:r>
    </w:p>
    <w:p>
      <w:pPr>
        <w:spacing w:after="80"/>
      </w:pPr>
      <w:r>
        <w:rPr>
          <w:b/>
          <w:bCs/>
        </w:rPr>
        <w:t xml:space="preserve">Type : </w:t>
      </w:r>
      <w:r>
        <w:t xml:space="preserve">Bug confirmé — identifié en revue de code, pas encore observé sur le terrain. Impact potentiel sur la fiabilité des données pour toute mission de plusieurs jours avec des conditions différentes d'un jour à l'autre.</w:t>
      </w:r>
    </w:p>
    <w:p>
      <w:pPr>
        <w:pStyle w:val="Heading2"/>
        <w:spacing w:after="100" w:before="260"/>
      </w:pPr>
      <w:r>
        <w:t xml:space="preserve">9. Référence du blanc mal associée si plusieurs blancs existent pour un même agent</w:t>
      </w:r>
    </w:p>
    <w:p>
      <w:pPr>
        <w:spacing w:after="80"/>
      </w:pPr>
      <w:r>
        <w:rPr>
          <w:b/>
          <w:bCs/>
        </w:rPr>
        <w:t xml:space="preserve">Constat : </w:t>
      </w:r>
      <w:r>
        <w:t xml:space="preserve">Quand une mission comporte plusieurs blancs terrain pour le même agent chimique (typiquement un par jour), l'export associe systématiquement le premier blanc trouvé à tous les prélèvements de cet agent, quel que soit le jour.</w:t>
      </w:r>
    </w:p>
    <w:p>
      <w:pPr>
        <w:spacing w:after="80"/>
      </w:pPr>
      <w:r>
        <w:rPr>
          <w:b/>
          <w:bCs/>
        </w:rPr>
        <w:t xml:space="preserve">Comportement attendu : </w:t>
      </w:r>
      <w:r>
        <w:t xml:space="preserve">Associer à chaque prélèvement le blanc terrain correspondant à son propre jour (ou à son propre contexte), et non toujours le premier blanc de la mission.</w:t>
      </w:r>
    </w:p>
    <w:p>
      <w:pPr>
        <w:spacing w:after="80"/>
      </w:pPr>
      <w:r>
        <w:rPr>
          <w:b/>
          <w:bCs/>
        </w:rPr>
        <w:t xml:space="preserve">Type : </w:t>
      </w:r>
      <w:r>
        <w:t xml:space="preserve">Bug confirmé — identifié en revue de code, pas encore observé sur le terrain. Sur une mission multi-jours avec un blanc par jour, les prélèvements des jours suivants peuvent se retrouver rattachés au blanc du jour 1.</w:t>
      </w:r>
    </w:p>
    <w:p>
      <w:pPr>
        <w:pStyle w:val="Heading2"/>
        <w:spacing w:after="100" w:before="260"/>
      </w:pPr>
      <w:r>
        <w:t xml:space="preserve">10. Blancs sans référence saisie qui se mélangent dans la liste "Échantillons"</w:t>
      </w:r>
    </w:p>
    <w:p>
      <w:pPr>
        <w:spacing w:after="80"/>
      </w:pPr>
      <w:r>
        <w:rPr>
          <w:b/>
          <w:bCs/>
        </w:rPr>
        <w:t xml:space="preserve">Constat : </w:t>
      </w:r>
      <w:r>
        <w:t xml:space="preserve">Si plusieurs blancs terrain sont enregistrés avant que leur référence ait été saisie, ils se regroupent tous sous une même ligne (référence vide) dans l'écran de synthèse des échantillons, avec leurs agents mélangés. Ce problème ne touche pas les échantillons classiques, qui eux sont bien exclus de la liste tant qu'ils n'ont pas de référence.</w:t>
      </w:r>
    </w:p>
    <w:p>
      <w:pPr>
        <w:spacing w:after="80"/>
      </w:pPr>
      <w:r>
        <w:rPr>
          <w:b/>
          <w:bCs/>
        </w:rPr>
        <w:t xml:space="preserve">Comportement attendu : </w:t>
      </w:r>
      <w:r>
        <w:t xml:space="preserve">Exclure de la liste (ou afficher séparément) les blancs sans référence saisie, plutôt que de les fusionner entre eux.</w:t>
      </w:r>
    </w:p>
    <w:p>
      <w:pPr>
        <w:spacing w:after="80"/>
      </w:pPr>
      <w:r>
        <w:rPr>
          <w:b/>
          <w:bCs/>
        </w:rPr>
        <w:t xml:space="preserve">Type : </w:t>
      </w:r>
      <w:r>
        <w:t xml:space="preserve">Bug confirmé — identifié en revue de code, pas encore observé sur le terrain.</w:t>
      </w:r>
    </w:p>
    <w:p>
      <w:pPr>
        <w:pStyle w:val="Heading2"/>
        <w:spacing w:after="100" w:before="260"/>
      </w:pPr>
      <w:r>
        <w:t xml:space="preserve">11. Chronomètre CT perdu si l'appli se recharge ou se met en veille</w:t>
      </w:r>
    </w:p>
    <w:p>
      <w:pPr>
        <w:spacing w:after="80"/>
      </w:pPr>
      <w:r>
        <w:rPr>
          <w:b/>
          <w:bCs/>
        </w:rPr>
        <w:t xml:space="preserve">Constat : </w:t>
      </w:r>
      <w:r>
        <w:t xml:space="preserve">L'application contient deux versions différentes du chronomètre CT (15 min) : une qui sauvegarde son état pour pouvoir le retrouver après un rechargement, et une qui ne le fait pas. C'est la version SANS sauvegarde qui est effectivement utilisée aujourd'hui (la version avec sauvegarde existe dans le code mais n'est plus active). Résultat : si l'application se recharge, se met en veille prolongée ou est fermée pendant qu'un chrono CT tourne sur le terrain — ce qui arrive régulièrement sur téléphone — le chrono en cours est perdu, et l'heure de fin n'est plus renseignée automatiquement à l'arrêt.</w:t>
      </w:r>
    </w:p>
    <w:p>
      <w:pPr>
        <w:spacing w:after="80"/>
      </w:pPr>
      <w:r>
        <w:rPr>
          <w:b/>
          <w:bCs/>
        </w:rPr>
        <w:t xml:space="preserve">Comportement attendu : </w:t>
      </w:r>
      <w:r>
        <w:t xml:space="preserve">Ne garder qu'une seule version du chronomètre CT, et que ce soit la version avec sauvegarde qui soit active, pour que le chrono survive à une mise en veille ou un rechargement de l'application.</w:t>
      </w:r>
    </w:p>
    <w:p>
      <w:pPr>
        <w:spacing w:after="80"/>
      </w:pPr>
      <w:r>
        <w:rPr>
          <w:b/>
          <w:bCs/>
        </w:rPr>
        <w:t xml:space="preserve">Type : </w:t>
      </w:r>
      <w:r>
        <w:t xml:space="preserve">Bug confirmé — identifié en revue de code, pas encore observé sur le terrain, mais le mécanisme est clair. Fiabilité potentiellement impactée pour toutes les mesures CT.</w:t>
      </w:r>
    </w:p>
    <w:p>
      <w:pPr>
        <w:pStyle w:val="Heading1"/>
        <w:spacing w:after="120" w:before="200"/>
      </w:pPr>
      <w:r>
        <w:t xml:space="preserve">Points de discussion (hors anomalies)</w:t>
      </w:r>
    </w:p>
    <w:p>
      <w:pPr>
        <w:spacing w:after="100"/>
      </w:pPr>
      <w:r>
        <w:rPr>
          <w:i/>
          <w:iCs/>
        </w:rPr>
        <w:t xml:space="preserve">Les deux points suivants ne sont pas des anomalies applicatives : ils nécessitent une position méthode/produit avant tout développement, et ne sont pas à transmettre tels quels à l'informatique.</w:t>
      </w:r>
    </w:p>
    <w:p>
      <w:pPr>
        <w:pStyle w:val="Heading2"/>
        <w:spacing w:after="100" w:before="260"/>
      </w:pPr>
      <w:r>
        <w:t xml:space="preserve">Conditions ambiantes — granularité journalière (point COFRAC)</w:t>
      </w:r>
    </w:p>
    <w:p>
      <w:pPr>
        <w:spacing w:after="80"/>
      </w:pPr>
      <w:r>
        <w:rPr>
          <w:b/>
          <w:bCs/>
        </w:rPr>
        <w:t xml:space="preserve">Constat : </w:t>
      </w:r>
      <w:r>
        <w:t xml:space="preserve">Les conditions ambiantes (température/pression/humidité) sont saisies une seule fois par jour et appliquées à l'ensemble du site ce jour-là. Pas de granularité par prélèvement, zone ou opérateur.</w:t>
      </w:r>
    </w:p>
    <w:p>
      <w:pPr>
        <w:spacing w:after="80"/>
      </w:pPr>
      <w:r>
        <w:rPr>
          <w:b/>
          <w:bCs/>
        </w:rPr>
        <w:t xml:space="preserve">À trancher : </w:t>
      </w:r>
      <w:r>
        <w:t xml:space="preserve">si le COFRAC exige des conditions ambiantes par point de mesure plutôt que par jour/site, cela implique un changement assez lourd dans la manière dont ces conditions sont rattachées aux prélèvements.</w:t>
      </w:r>
    </w:p>
    <w:p>
      <w:pPr>
        <w:pStyle w:val="Heading2"/>
        <w:spacing w:after="100" w:before="260"/>
      </w:pPr>
      <w:r>
        <w:t xml:space="preserve">Vision : fusion de l'export Excel et de la feuille de calcul</w:t>
      </w:r>
    </w:p>
    <w:p>
      <w:pPr>
        <w:spacing w:after="80"/>
      </w:pPr>
      <w:r>
        <w:rPr>
          <w:b/>
          <w:bCs/>
        </w:rPr>
        <w:t xml:space="preserve">Constat : </w:t>
      </w:r>
      <w:r>
        <w:t xml:space="preserve">aujourd'hui, l'export Excel et la feuille de calcul sont deux fichiers séparés, avec ressaisie/copier-coller entre les deux.</w:t>
      </w:r>
    </w:p>
    <w:p>
      <w:pPr>
        <w:spacing w:after="80"/>
      </w:pPr>
      <w:r>
        <w:rPr>
          <w:b/>
          <w:bCs/>
        </w:rPr>
        <w:t xml:space="preserve">Proposition : </w:t>
      </w:r>
      <w:r>
        <w:t xml:space="preserve">à terme, n'avoir qu'un seul fichier faisant office à la fois d'export et de calcul, pour supprimer la double saisie. Axe de roadmap à discuter avec l'informatique, pas une correction ponctuelle.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2026-09-16T13:05:15.119Z</dcterms:created>
  <dcterms:modified xsi:type="dcterms:W3CDTF">2026-09-16T13:05:15.119Z</dcterms:modified>
</cp:coreProperties>
</file>

<file path=docProps/custom.xml><?xml version="1.0" encoding="utf-8"?>
<Properties xmlns="http://schemas.openxmlformats.org/officeDocument/2006/custom-properties" xmlns:vt="http://schemas.openxmlformats.org/officeDocument/2006/docPropsVTypes"/>
</file>