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Réunion avec l'électricien – Chantier Mangon</w:t>
      </w:r>
    </w:p>
    <w:p>
      <w:r>
        <w:rPr>
          <w:b/>
        </w:rPr>
        <w:t>Ce qu'on dit, ce qu'on exige, ce qu'on peut négocier, ce qu'on doit obtenir</w:t>
      </w:r>
    </w:p>
    <w:p>
      <w:r>
        <w:rPr>
          <w:i/>
          <w:color w:val="595959"/>
        </w:rPr>
        <w:t>Les numéros Q renvoient au PDF des questions ouvertes, qui sert de fil conducteur pendant la réunion.</w:t>
      </w:r>
    </w:p>
    <w:p>
      <w:pPr>
        <w:pStyle w:val="Heading1"/>
      </w:pPr>
      <w:r>
        <w:t>1. Objectif</w:t>
      </w:r>
    </w:p>
    <w:p>
      <w:r>
        <w:rPr>
          <w:b/>
        </w:rPr>
        <w:t>Repartir avec, par écrit : la liste des corrections et leurs dates, et un décompte final (moins-values et suppléments) accepté des deux côtés.</w:t>
      </w:r>
    </w:p>
    <w:p>
      <w:pPr>
        <w:pStyle w:val="Heading1"/>
      </w:pPr>
      <w:r>
        <w:t>2. Avant la réunion (en interne)</w:t>
      </w:r>
    </w:p>
    <w:p>
      <w:pPr>
        <w:pStyle w:val="ListBullet"/>
      </w:pPr>
      <w:r>
        <w:t>Décider en interne des 6 questions « ISEO » du PDF des questions : chambre de la commande depuis la tête de lit et des prises USB (Q33, Q36), éclairage côté jardin (Q27), bureau / dressing (Q38), prise sous la fenêtre de la cuisine (Q17), erreur exacte sur les interrupteurs de la salle à manger (Q21).</w:t>
      </w:r>
    </w:p>
    <w:p>
      <w:pPr>
        <w:pStyle w:val="ListBullet"/>
      </w:pPr>
      <w:r>
        <w:t>Avoir sous la main : le devis, les plans électriques signés, le bilan du 29/10, les photos et le PDF des questions.</w:t>
      </w:r>
    </w:p>
    <w:p>
      <w:pPr>
        <w:pStyle w:val="ListBullet"/>
      </w:pPr>
      <w:r>
        <w:t>Fixer ce qu'on accepte de payer en supplément au maximum, et ce sur quoi on ne cède pas (voir points 4 et 6).</w:t>
      </w:r>
    </w:p>
    <w:p>
      <w:pPr>
        <w:pStyle w:val="Heading1"/>
      </w:pPr>
      <w:r>
        <w:t>3. Ouverture : ce qu'on dit</w:t>
      </w:r>
    </w:p>
    <w:p>
      <w:pPr>
        <w:pStyle w:val="ListBullet"/>
      </w:pPr>
      <w:r>
        <w:t>« On a fait le tour complet le 29/10, pièce par pièce, avec le devis et les plans signés en main. Une grande partie est conforme (48 points sur 86), merci pour ça. »</w:t>
      </w:r>
    </w:p>
    <w:p>
      <w:pPr>
        <w:pStyle w:val="ListBullet"/>
      </w:pPr>
      <w:r>
        <w:t>« Il reste des points prévus au devis ou aux plans qui ne sont pas faits ou pas conformes. On veut les passer un par un et convenir ensemble d'une date pour chaque correction. »</w:t>
      </w:r>
    </w:p>
    <w:p>
      <w:pPr>
        <w:pStyle w:val="ListBullet"/>
      </w:pPr>
      <w:r>
        <w:t>« On veut aussi clarifier les écarts par rapport au devis, dans les deux sens, pour arriver à un décompte final clair. On préfère tout régler aujourd'hui plutôt qu'à la facture. »</w:t>
      </w:r>
    </w:p>
    <w:p>
      <w:pPr>
        <w:pStyle w:val="Heading1"/>
      </w:pPr>
      <w:r>
        <w:t>4. Ce qu'on exige : à corriger sans frais</w:t>
      </w:r>
    </w:p>
    <w:p>
      <w:r>
        <w:t>Ces points sont prévus au devis et/ou aux plans signés. Ce n'est pas négociable : on attend une date pour chacun.</w:t>
      </w:r>
    </w:p>
    <w:tbl>
      <w:tblPr>
        <w:tblStyle w:val="TableGrid"/>
        <w:tblW w:type="auto" w:w="0"/>
        <w:jc w:val="center"/>
        <w:tblLayout w:type="fixed"/>
        <w:tblLook w:firstColumn="1" w:firstRow="1" w:lastColumn="0" w:lastRow="0" w:noHBand="0" w:noVBand="1" w:val="04A0"/>
      </w:tblPr>
      <w:tblGrid>
        <w:gridCol w:w="3515"/>
        <w:gridCol w:w="2154"/>
        <w:gridCol w:w="2948"/>
        <w:gridCol w:w="1474"/>
      </w:tblGrid>
      <w:tr>
        <w:trPr>
          <w:tblHeader w:val="true"/>
        </w:trPr>
        <w:tc>
          <w:tcPr>
            <w:tcW w:type="dxa" w:w="2606"/>
            <w:shd w:val="clear" w:color="auto" w:fill="D9D9D9"/>
          </w:tcPr>
          <w:p>
            <w:r/>
            <w:r>
              <w:rPr>
                <w:b/>
                <w:i w:val="0"/>
                <w:sz w:val="17"/>
              </w:rPr>
              <w:t>Point</w:t>
            </w:r>
          </w:p>
        </w:tc>
        <w:tc>
          <w:tcPr>
            <w:tcW w:type="dxa" w:w="2606"/>
            <w:shd w:val="clear" w:color="auto" w:fill="D9D9D9"/>
          </w:tcPr>
          <w:p>
            <w:r/>
            <w:r>
              <w:rPr>
                <w:b/>
                <w:i w:val="0"/>
                <w:sz w:val="17"/>
              </w:rPr>
              <w:t>Base</w:t>
            </w:r>
          </w:p>
        </w:tc>
        <w:tc>
          <w:tcPr>
            <w:tcW w:type="dxa" w:w="2606"/>
            <w:shd w:val="clear" w:color="auto" w:fill="D9D9D9"/>
          </w:tcPr>
          <w:p>
            <w:r/>
            <w:r>
              <w:rPr>
                <w:b/>
                <w:i w:val="0"/>
                <w:sz w:val="17"/>
              </w:rPr>
              <w:t>Ce qu'on attend</w:t>
            </w:r>
          </w:p>
        </w:tc>
        <w:tc>
          <w:tcPr>
            <w:tcW w:type="dxa" w:w="2606"/>
            <w:shd w:val="clear" w:color="auto" w:fill="D9D9D9"/>
          </w:tcPr>
          <w:p>
            <w:r/>
            <w:r>
              <w:rPr>
                <w:b/>
                <w:i w:val="0"/>
                <w:sz w:val="17"/>
              </w:rPr>
              <w:t>Réf.</w:t>
            </w:r>
          </w:p>
        </w:tc>
      </w:tr>
      <w:tr>
        <w:tc>
          <w:tcPr>
            <w:tcW w:type="dxa" w:w="3515"/>
            <w:shd w:val="clear" w:color="auto" w:fill="F4CCCC"/>
          </w:tcPr>
          <w:p>
            <w:r/>
            <w:r>
              <w:rPr>
                <w:b/>
                <w:i w:val="0"/>
                <w:sz w:val="17"/>
              </w:rPr>
              <w:t>Appliques murales du salon (2, en 2 directions)</w:t>
            </w:r>
          </w:p>
        </w:tc>
        <w:tc>
          <w:tcPr>
            <w:tcW w:type="dxa" w:w="2154"/>
          </w:tcPr>
          <w:p>
            <w:r/>
            <w:r>
              <w:rPr>
                <w:b w:val="0"/>
                <w:i w:val="0"/>
                <w:sz w:val="17"/>
              </w:rPr>
              <w:t>Devis + plans (A3)</w:t>
            </w:r>
          </w:p>
        </w:tc>
        <w:tc>
          <w:tcPr>
            <w:tcW w:type="dxa" w:w="2948"/>
          </w:tcPr>
          <w:p>
            <w:r/>
            <w:r>
              <w:rPr>
                <w:b w:val="0"/>
                <w:i w:val="0"/>
                <w:sz w:val="17"/>
              </w:rPr>
              <w:t>Pose</w:t>
            </w:r>
          </w:p>
        </w:tc>
        <w:tc>
          <w:tcPr>
            <w:tcW w:type="dxa" w:w="1474"/>
          </w:tcPr>
          <w:p>
            <w:r/>
            <w:r>
              <w:rPr>
                <w:b w:val="0"/>
                <w:i w:val="0"/>
                <w:sz w:val="17"/>
              </w:rPr>
              <w:t>Q20</w:t>
            </w:r>
          </w:p>
        </w:tc>
      </w:tr>
      <w:tr>
        <w:tc>
          <w:tcPr>
            <w:tcW w:type="dxa" w:w="3515"/>
            <w:shd w:val="clear" w:color="auto" w:fill="F4CCCC"/>
          </w:tcPr>
          <w:p>
            <w:r/>
            <w:r>
              <w:rPr>
                <w:b/>
                <w:i w:val="0"/>
                <w:sz w:val="17"/>
              </w:rPr>
              <w:t>Point lumineux sous meuble de la cuisine</w:t>
            </w:r>
          </w:p>
        </w:tc>
        <w:tc>
          <w:tcPr>
            <w:tcW w:type="dxa" w:w="2154"/>
          </w:tcPr>
          <w:p>
            <w:r/>
            <w:r>
              <w:rPr>
                <w:b w:val="0"/>
                <w:i w:val="0"/>
                <w:sz w:val="17"/>
              </w:rPr>
              <w:t>Devis</w:t>
            </w:r>
          </w:p>
        </w:tc>
        <w:tc>
          <w:tcPr>
            <w:tcW w:type="dxa" w:w="2948"/>
          </w:tcPr>
          <w:p>
            <w:r/>
            <w:r>
              <w:rPr>
                <w:b w:val="0"/>
                <w:i w:val="0"/>
                <w:sz w:val="17"/>
              </w:rPr>
              <w:t>Pose</w:t>
            </w:r>
          </w:p>
        </w:tc>
        <w:tc>
          <w:tcPr>
            <w:tcW w:type="dxa" w:w="1474"/>
          </w:tcPr>
          <w:p>
            <w:r/>
            <w:r>
              <w:rPr>
                <w:b w:val="0"/>
                <w:i w:val="0"/>
                <w:sz w:val="17"/>
              </w:rPr>
              <w:t>Q16</w:t>
            </w:r>
          </w:p>
        </w:tc>
      </w:tr>
      <w:tr>
        <w:tc>
          <w:tcPr>
            <w:tcW w:type="dxa" w:w="3515"/>
            <w:shd w:val="clear" w:color="auto" w:fill="F4CCCC"/>
          </w:tcPr>
          <w:p>
            <w:r/>
            <w:r>
              <w:rPr>
                <w:b/>
                <w:i w:val="0"/>
                <w:sz w:val="17"/>
              </w:rPr>
              <w:t>Alimentations pompe à chaleur (int. + ext.) et chauffe-eau</w:t>
            </w:r>
          </w:p>
        </w:tc>
        <w:tc>
          <w:tcPr>
            <w:tcW w:type="dxa" w:w="2154"/>
          </w:tcPr>
          <w:p>
            <w:r/>
            <w:r>
              <w:rPr>
                <w:b w:val="0"/>
                <w:i w:val="0"/>
                <w:sz w:val="17"/>
              </w:rPr>
              <w:t>Devis (3)</w:t>
            </w:r>
          </w:p>
        </w:tc>
        <w:tc>
          <w:tcPr>
            <w:tcW w:type="dxa" w:w="2948"/>
          </w:tcPr>
          <w:p>
            <w:r/>
            <w:r>
              <w:rPr>
                <w:b w:val="0"/>
                <w:i w:val="0"/>
                <w:sz w:val="17"/>
              </w:rPr>
              <w:t>Réalisation conforme</w:t>
            </w:r>
          </w:p>
        </w:tc>
        <w:tc>
          <w:tcPr>
            <w:tcW w:type="dxa" w:w="1474"/>
          </w:tcPr>
          <w:p>
            <w:r/>
            <w:r>
              <w:rPr>
                <w:b w:val="0"/>
                <w:i w:val="0"/>
                <w:sz w:val="17"/>
              </w:rPr>
              <w:t>Q25</w:t>
            </w:r>
          </w:p>
        </w:tc>
      </w:tr>
      <w:tr>
        <w:tc>
          <w:tcPr>
            <w:tcW w:type="dxa" w:w="3515"/>
            <w:shd w:val="clear" w:color="auto" w:fill="F4CCCC"/>
          </w:tcPr>
          <w:p>
            <w:r/>
            <w:r>
              <w:rPr>
                <w:b/>
                <w:i w:val="0"/>
                <w:sz w:val="17"/>
              </w:rPr>
              <w:t>Prises simples de la chambre 3</w:t>
            </w:r>
          </w:p>
        </w:tc>
        <w:tc>
          <w:tcPr>
            <w:tcW w:type="dxa" w:w="2154"/>
          </w:tcPr>
          <w:p>
            <w:r/>
            <w:r>
              <w:rPr>
                <w:b w:val="0"/>
                <w:i w:val="0"/>
                <w:sz w:val="17"/>
              </w:rPr>
              <w:t>Devis (3) + plans (2)</w:t>
            </w:r>
          </w:p>
        </w:tc>
        <w:tc>
          <w:tcPr>
            <w:tcW w:type="dxa" w:w="2948"/>
          </w:tcPr>
          <w:p>
            <w:r/>
            <w:r>
              <w:rPr>
                <w:b w:val="0"/>
                <w:i w:val="0"/>
                <w:sz w:val="17"/>
              </w:rPr>
              <w:t>Pose</w:t>
            </w:r>
          </w:p>
        </w:tc>
        <w:tc>
          <w:tcPr>
            <w:tcW w:type="dxa" w:w="1474"/>
          </w:tcPr>
          <w:p>
            <w:r/>
            <w:r>
              <w:rPr>
                <w:b w:val="0"/>
                <w:i w:val="0"/>
                <w:sz w:val="17"/>
              </w:rPr>
              <w:t>Q35</w:t>
            </w:r>
          </w:p>
        </w:tc>
      </w:tr>
      <w:tr>
        <w:tc>
          <w:tcPr>
            <w:tcW w:type="dxa" w:w="3515"/>
            <w:shd w:val="clear" w:color="auto" w:fill="F4CCCC"/>
          </w:tcPr>
          <w:p>
            <w:r/>
            <w:r>
              <w:rPr>
                <w:b/>
                <w:i w:val="0"/>
                <w:sz w:val="17"/>
              </w:rPr>
              <w:t>3e prise double de la chambre 2</w:t>
            </w:r>
          </w:p>
        </w:tc>
        <w:tc>
          <w:tcPr>
            <w:tcW w:type="dxa" w:w="2154"/>
          </w:tcPr>
          <w:p>
            <w:r/>
            <w:r>
              <w:rPr>
                <w:b w:val="0"/>
                <w:i w:val="0"/>
                <w:sz w:val="17"/>
              </w:rPr>
              <w:t>Devis + plans (3)</w:t>
            </w:r>
          </w:p>
        </w:tc>
        <w:tc>
          <w:tcPr>
            <w:tcW w:type="dxa" w:w="2948"/>
          </w:tcPr>
          <w:p>
            <w:r/>
            <w:r>
              <w:rPr>
                <w:b w:val="0"/>
                <w:i w:val="0"/>
                <w:sz w:val="17"/>
              </w:rPr>
              <w:t>Pose, ou explication si elle existe</w:t>
            </w:r>
          </w:p>
        </w:tc>
        <w:tc>
          <w:tcPr>
            <w:tcW w:type="dxa" w:w="1474"/>
          </w:tcPr>
          <w:p>
            <w:r/>
            <w:r>
              <w:rPr>
                <w:b w:val="0"/>
                <w:i w:val="0"/>
                <w:sz w:val="17"/>
              </w:rPr>
              <w:t>Q34</w:t>
            </w:r>
          </w:p>
        </w:tc>
      </w:tr>
      <w:tr>
        <w:tc>
          <w:tcPr>
            <w:tcW w:type="dxa" w:w="3515"/>
            <w:shd w:val="clear" w:color="auto" w:fill="F4CCCC"/>
          </w:tcPr>
          <w:p>
            <w:r/>
            <w:r>
              <w:rPr>
                <w:b/>
                <w:i w:val="0"/>
                <w:sz w:val="17"/>
              </w:rPr>
              <w:t>Prise double indépendante de la salle de douche</w:t>
            </w:r>
          </w:p>
        </w:tc>
        <w:tc>
          <w:tcPr>
            <w:tcW w:type="dxa" w:w="2154"/>
          </w:tcPr>
          <w:p>
            <w:r/>
            <w:r>
              <w:rPr>
                <w:b w:val="0"/>
                <w:i w:val="0"/>
                <w:sz w:val="17"/>
              </w:rPr>
              <w:t>Devis</w:t>
            </w:r>
          </w:p>
        </w:tc>
        <w:tc>
          <w:tcPr>
            <w:tcW w:type="dxa" w:w="2948"/>
          </w:tcPr>
          <w:p>
            <w:r/>
            <w:r>
              <w:rPr>
                <w:b w:val="0"/>
                <w:i w:val="0"/>
                <w:sz w:val="17"/>
              </w:rPr>
              <w:t>Recâblage : ne doit pas dépendre de la lumière</w:t>
            </w:r>
          </w:p>
        </w:tc>
        <w:tc>
          <w:tcPr>
            <w:tcW w:type="dxa" w:w="1474"/>
          </w:tcPr>
          <w:p>
            <w:r/>
            <w:r>
              <w:rPr>
                <w:b w:val="0"/>
                <w:i w:val="0"/>
                <w:sz w:val="17"/>
              </w:rPr>
              <w:t>Q10</w:t>
            </w:r>
          </w:p>
        </w:tc>
      </w:tr>
      <w:tr>
        <w:tc>
          <w:tcPr>
            <w:tcW w:type="dxa" w:w="3515"/>
            <w:shd w:val="clear" w:color="auto" w:fill="F4CCCC"/>
          </w:tcPr>
          <w:p>
            <w:r/>
            <w:r>
              <w:rPr>
                <w:b/>
                <w:i w:val="0"/>
                <w:sz w:val="17"/>
              </w:rPr>
              <w:t>Interrupteur des spots de la cuisine</w:t>
            </w:r>
          </w:p>
        </w:tc>
        <w:tc>
          <w:tcPr>
            <w:tcW w:type="dxa" w:w="2154"/>
          </w:tcPr>
          <w:p>
            <w:r/>
            <w:r>
              <w:rPr>
                <w:b w:val="0"/>
                <w:i w:val="0"/>
                <w:sz w:val="17"/>
              </w:rPr>
              <w:t>Devis (déplacé à la demande d'ISEO)</w:t>
            </w:r>
          </w:p>
        </w:tc>
        <w:tc>
          <w:tcPr>
            <w:tcW w:type="dxa" w:w="2948"/>
          </w:tcPr>
          <w:p>
            <w:r/>
            <w:r>
              <w:rPr>
                <w:b w:val="0"/>
                <w:i w:val="0"/>
                <w:sz w:val="17"/>
              </w:rPr>
              <w:t>Déplacement au bon endroit</w:t>
            </w:r>
          </w:p>
        </w:tc>
        <w:tc>
          <w:tcPr>
            <w:tcW w:type="dxa" w:w="1474"/>
          </w:tcPr>
          <w:p>
            <w:r/>
            <w:r>
              <w:rPr>
                <w:b w:val="0"/>
                <w:i w:val="0"/>
                <w:sz w:val="17"/>
              </w:rPr>
              <w:t>Q15</w:t>
            </w:r>
          </w:p>
        </w:tc>
      </w:tr>
      <w:tr>
        <w:tc>
          <w:tcPr>
            <w:tcW w:type="dxa" w:w="3515"/>
            <w:shd w:val="clear" w:color="auto" w:fill="F4CCCC"/>
          </w:tcPr>
          <w:p>
            <w:r/>
            <w:r>
              <w:rPr>
                <w:b/>
                <w:i w:val="0"/>
                <w:sz w:val="17"/>
              </w:rPr>
              <w:t>Témoins des appliques extérieures (buanderie)</w:t>
            </w:r>
          </w:p>
        </w:tc>
        <w:tc>
          <w:tcPr>
            <w:tcW w:type="dxa" w:w="2154"/>
          </w:tcPr>
          <w:p>
            <w:r/>
            <w:r>
              <w:rPr>
                <w:b w:val="0"/>
                <w:i w:val="0"/>
                <w:sz w:val="17"/>
              </w:rPr>
              <w:t>Devis (1 direction + témoin)</w:t>
            </w:r>
          </w:p>
        </w:tc>
        <w:tc>
          <w:tcPr>
            <w:tcW w:type="dxa" w:w="2948"/>
          </w:tcPr>
          <w:p>
            <w:r/>
            <w:r>
              <w:rPr>
                <w:b w:val="0"/>
                <w:i w:val="0"/>
                <w:sz w:val="17"/>
              </w:rPr>
              <w:t>Ajout du témoin</w:t>
            </w:r>
          </w:p>
        </w:tc>
        <w:tc>
          <w:tcPr>
            <w:tcW w:type="dxa" w:w="1474"/>
          </w:tcPr>
          <w:p>
            <w:r/>
            <w:r>
              <w:rPr>
                <w:b w:val="0"/>
                <w:i w:val="0"/>
                <w:sz w:val="17"/>
              </w:rPr>
              <w:t>Q18</w:t>
            </w:r>
          </w:p>
        </w:tc>
      </w:tr>
      <w:tr>
        <w:tc>
          <w:tcPr>
            <w:tcW w:type="dxa" w:w="3515"/>
            <w:shd w:val="clear" w:color="auto" w:fill="F4CCCC"/>
          </w:tcPr>
          <w:p>
            <w:r/>
            <w:r>
              <w:rPr>
                <w:b/>
                <w:i w:val="0"/>
                <w:sz w:val="17"/>
              </w:rPr>
              <w:t>Applique du hall des chambres 3-4 (2 directions + témoin)</w:t>
            </w:r>
          </w:p>
        </w:tc>
        <w:tc>
          <w:tcPr>
            <w:tcW w:type="dxa" w:w="2154"/>
          </w:tcPr>
          <w:p>
            <w:r/>
            <w:r>
              <w:rPr>
                <w:b w:val="0"/>
                <w:i w:val="0"/>
                <w:sz w:val="17"/>
              </w:rPr>
              <w:t>Devis</w:t>
            </w:r>
          </w:p>
        </w:tc>
        <w:tc>
          <w:tcPr>
            <w:tcW w:type="dxa" w:w="2948"/>
          </w:tcPr>
          <w:p>
            <w:r/>
            <w:r>
              <w:rPr>
                <w:b w:val="0"/>
                <w:i w:val="0"/>
                <w:sz w:val="17"/>
              </w:rPr>
              <w:t>Applique, 2 directions et témoin</w:t>
            </w:r>
          </w:p>
        </w:tc>
        <w:tc>
          <w:tcPr>
            <w:tcW w:type="dxa" w:w="1474"/>
          </w:tcPr>
          <w:p>
            <w:r/>
            <w:r>
              <w:rPr>
                <w:b w:val="0"/>
                <w:i w:val="0"/>
                <w:sz w:val="17"/>
              </w:rPr>
              <w:t>Q31</w:t>
            </w:r>
          </w:p>
        </w:tc>
      </w:tr>
      <w:tr>
        <w:tc>
          <w:tcPr>
            <w:tcW w:type="dxa" w:w="3515"/>
            <w:shd w:val="clear" w:color="auto" w:fill="F4CCCC"/>
          </w:tcPr>
          <w:p>
            <w:r/>
            <w:r>
              <w:rPr>
                <w:b/>
                <w:i w:val="0"/>
                <w:sz w:val="17"/>
              </w:rPr>
              <w:t>Prises NIKO Hydro (extérieur et garage)</w:t>
            </w:r>
          </w:p>
        </w:tc>
        <w:tc>
          <w:tcPr>
            <w:tcW w:type="dxa" w:w="2154"/>
          </w:tcPr>
          <w:p>
            <w:r/>
            <w:r>
              <w:rPr>
                <w:b w:val="0"/>
                <w:i w:val="0"/>
                <w:sz w:val="17"/>
              </w:rPr>
              <w:t>Devis : noires</w:t>
            </w:r>
          </w:p>
        </w:tc>
        <w:tc>
          <w:tcPr>
            <w:tcW w:type="dxa" w:w="2948"/>
          </w:tcPr>
          <w:p>
            <w:r/>
            <w:r>
              <w:rPr>
                <w:b w:val="0"/>
                <w:i w:val="0"/>
                <w:sz w:val="17"/>
              </w:rPr>
              <w:t>Remplacement par des noires</w:t>
            </w:r>
          </w:p>
        </w:tc>
        <w:tc>
          <w:tcPr>
            <w:tcW w:type="dxa" w:w="1474"/>
          </w:tcPr>
          <w:p>
            <w:r/>
            <w:r>
              <w:rPr>
                <w:b w:val="0"/>
                <w:i w:val="0"/>
                <w:sz w:val="17"/>
              </w:rPr>
              <w:t>Q19, Q23</w:t>
            </w:r>
          </w:p>
        </w:tc>
      </w:tr>
      <w:tr>
        <w:tc>
          <w:tcPr>
            <w:tcW w:type="dxa" w:w="3515"/>
            <w:shd w:val="clear" w:color="auto" w:fill="F4CCCC"/>
          </w:tcPr>
          <w:p>
            <w:r/>
            <w:r>
              <w:rPr>
                <w:b/>
                <w:i w:val="0"/>
                <w:sz w:val="17"/>
              </w:rPr>
              <w:t>Tube LED du garage</w:t>
            </w:r>
          </w:p>
        </w:tc>
        <w:tc>
          <w:tcPr>
            <w:tcW w:type="dxa" w:w="2154"/>
          </w:tcPr>
          <w:p>
            <w:r/>
            <w:r>
              <w:rPr>
                <w:b w:val="0"/>
                <w:i w:val="0"/>
                <w:sz w:val="17"/>
              </w:rPr>
              <w:t>Devis + plans</w:t>
            </w:r>
          </w:p>
        </w:tc>
        <w:tc>
          <w:tcPr>
            <w:tcW w:type="dxa" w:w="2948"/>
          </w:tcPr>
          <w:p>
            <w:r/>
            <w:r>
              <w:rPr>
                <w:b w:val="0"/>
                <w:i w:val="0"/>
                <w:sz w:val="17"/>
              </w:rPr>
              <w:t>Remonter au plus haut</w:t>
            </w:r>
          </w:p>
        </w:tc>
        <w:tc>
          <w:tcPr>
            <w:tcW w:type="dxa" w:w="1474"/>
          </w:tcPr>
          <w:p>
            <w:r/>
            <w:r>
              <w:rPr>
                <w:b w:val="0"/>
                <w:i w:val="0"/>
                <w:sz w:val="17"/>
              </w:rPr>
              <w:t>Q22</w:t>
            </w:r>
          </w:p>
        </w:tc>
      </w:tr>
      <w:tr>
        <w:tc>
          <w:tcPr>
            <w:tcW w:type="dxa" w:w="3515"/>
            <w:shd w:val="clear" w:color="auto" w:fill="F4CCCC"/>
          </w:tcPr>
          <w:p>
            <w:r/>
            <w:r>
              <w:rPr>
                <w:b/>
                <w:i w:val="0"/>
                <w:sz w:val="17"/>
              </w:rPr>
              <w:t>Témoins des commandes de l'escalier</w:t>
            </w:r>
          </w:p>
        </w:tc>
        <w:tc>
          <w:tcPr>
            <w:tcW w:type="dxa" w:w="2154"/>
          </w:tcPr>
          <w:p>
            <w:r/>
            <w:r>
              <w:rPr>
                <w:b w:val="0"/>
                <w:i w:val="0"/>
                <w:sz w:val="17"/>
              </w:rPr>
              <w:t>Devis</w:t>
            </w:r>
          </w:p>
        </w:tc>
        <w:tc>
          <w:tcPr>
            <w:tcW w:type="dxa" w:w="2948"/>
          </w:tcPr>
          <w:p>
            <w:r/>
            <w:r>
              <w:rPr>
                <w:b w:val="0"/>
                <w:i w:val="0"/>
                <w:sz w:val="17"/>
              </w:rPr>
              <w:t>Vérifier et compléter</w:t>
            </w:r>
          </w:p>
        </w:tc>
        <w:tc>
          <w:tcPr>
            <w:tcW w:type="dxa" w:w="1474"/>
          </w:tcPr>
          <w:p>
            <w:r/>
            <w:r>
              <w:rPr>
                <w:b w:val="0"/>
                <w:i w:val="0"/>
                <w:sz w:val="17"/>
              </w:rPr>
              <w:t>Q29</w:t>
            </w:r>
          </w:p>
        </w:tc>
      </w:tr>
      <w:tr>
        <w:tc>
          <w:tcPr>
            <w:tcW w:type="dxa" w:w="3515"/>
            <w:shd w:val="clear" w:color="auto" w:fill="F4CCCC"/>
          </w:tcPr>
          <w:p>
            <w:r/>
            <w:r>
              <w:rPr>
                <w:b/>
                <w:i w:val="0"/>
                <w:sz w:val="17"/>
              </w:rPr>
              <w:t>Liaisons équipotentielles</w:t>
            </w:r>
          </w:p>
        </w:tc>
        <w:tc>
          <w:tcPr>
            <w:tcW w:type="dxa" w:w="2154"/>
          </w:tcPr>
          <w:p>
            <w:r/>
            <w:r>
              <w:rPr>
                <w:b w:val="0"/>
                <w:i w:val="0"/>
                <w:sz w:val="17"/>
              </w:rPr>
              <w:t>Devis</w:t>
            </w:r>
          </w:p>
        </w:tc>
        <w:tc>
          <w:tcPr>
            <w:tcW w:type="dxa" w:w="2948"/>
          </w:tcPr>
          <w:p>
            <w:r/>
            <w:r>
              <w:rPr>
                <w:b w:val="0"/>
                <w:i w:val="0"/>
                <w:sz w:val="17"/>
              </w:rPr>
              <w:t>Réalisées et prouvées par le contrôle</w:t>
            </w:r>
          </w:p>
        </w:tc>
        <w:tc>
          <w:tcPr>
            <w:tcW w:type="dxa" w:w="1474"/>
          </w:tcPr>
          <w:p>
            <w:r/>
            <w:r>
              <w:rPr>
                <w:b w:val="0"/>
                <w:i w:val="0"/>
                <w:sz w:val="17"/>
              </w:rPr>
              <w:t>Q32, Q11, Q5</w:t>
            </w:r>
          </w:p>
        </w:tc>
      </w:tr>
    </w:tbl>
    <w:p>
      <w:pPr>
        <w:pStyle w:val="Heading1"/>
      </w:pPr>
      <w:r>
        <w:t>5. Ce qu'on réclame en moins-value</w:t>
      </w:r>
    </w:p>
    <w:tbl>
      <w:tblPr>
        <w:tblStyle w:val="TableGrid"/>
        <w:tblW w:type="auto" w:w="0"/>
        <w:jc w:val="center"/>
        <w:tblLayout w:type="fixed"/>
        <w:tblLook w:firstColumn="1" w:firstRow="1" w:lastColumn="0" w:lastRow="0" w:noHBand="0" w:noVBand="1" w:val="04A0"/>
      </w:tblPr>
      <w:tblGrid>
        <w:gridCol w:w="2608"/>
        <w:gridCol w:w="2948"/>
        <w:gridCol w:w="3061"/>
        <w:gridCol w:w="1474"/>
      </w:tblGrid>
      <w:tr>
        <w:trPr>
          <w:tblHeader w:val="true"/>
        </w:trPr>
        <w:tc>
          <w:tcPr>
            <w:tcW w:type="dxa" w:w="2606"/>
            <w:shd w:val="clear" w:color="auto" w:fill="D9D9D9"/>
          </w:tcPr>
          <w:p>
            <w:r/>
            <w:r>
              <w:rPr>
                <w:b/>
                <w:i w:val="0"/>
                <w:sz w:val="17"/>
              </w:rPr>
              <w:t>Point</w:t>
            </w:r>
          </w:p>
        </w:tc>
        <w:tc>
          <w:tcPr>
            <w:tcW w:type="dxa" w:w="2606"/>
            <w:shd w:val="clear" w:color="auto" w:fill="D9D9D9"/>
          </w:tcPr>
          <w:p>
            <w:r/>
            <w:r>
              <w:rPr>
                <w:b/>
                <w:i w:val="0"/>
                <w:sz w:val="17"/>
              </w:rPr>
              <w:t>Constat</w:t>
            </w:r>
          </w:p>
        </w:tc>
        <w:tc>
          <w:tcPr>
            <w:tcW w:type="dxa" w:w="2606"/>
            <w:shd w:val="clear" w:color="auto" w:fill="D9D9D9"/>
          </w:tcPr>
          <w:p>
            <w:r/>
            <w:r>
              <w:rPr>
                <w:b/>
                <w:i w:val="0"/>
                <w:sz w:val="17"/>
              </w:rPr>
              <w:t>Ce qu'on demande</w:t>
            </w:r>
          </w:p>
        </w:tc>
        <w:tc>
          <w:tcPr>
            <w:tcW w:type="dxa" w:w="2606"/>
            <w:shd w:val="clear" w:color="auto" w:fill="D9D9D9"/>
          </w:tcPr>
          <w:p>
            <w:r/>
            <w:r>
              <w:rPr>
                <w:b/>
                <w:i w:val="0"/>
                <w:sz w:val="17"/>
              </w:rPr>
              <w:t>Réf.</w:t>
            </w:r>
          </w:p>
        </w:tc>
      </w:tr>
      <w:tr>
        <w:tc>
          <w:tcPr>
            <w:tcW w:type="dxa" w:w="2608"/>
            <w:shd w:val="clear" w:color="auto" w:fill="DCE6F2"/>
          </w:tcPr>
          <w:p>
            <w:r/>
            <w:r>
              <w:rPr>
                <w:b/>
                <w:i w:val="0"/>
                <w:sz w:val="17"/>
              </w:rPr>
              <w:t>Spots des halls</w:t>
            </w:r>
          </w:p>
        </w:tc>
        <w:tc>
          <w:tcPr>
            <w:tcW w:type="dxa" w:w="2948"/>
          </w:tcPr>
          <w:p>
            <w:r/>
            <w:r>
              <w:rPr>
                <w:b w:val="0"/>
                <w:i w:val="0"/>
                <w:sz w:val="17"/>
              </w:rPr>
              <w:t>8 au devis, 6 posés</w:t>
            </w:r>
          </w:p>
        </w:tc>
        <w:tc>
          <w:tcPr>
            <w:tcW w:type="dxa" w:w="3061"/>
          </w:tcPr>
          <w:p>
            <w:r/>
            <w:r>
              <w:rPr>
                <w:b w:val="0"/>
                <w:i w:val="0"/>
                <w:sz w:val="17"/>
              </w:rPr>
              <w:t>2 spots à déduire</w:t>
            </w:r>
          </w:p>
        </w:tc>
        <w:tc>
          <w:tcPr>
            <w:tcW w:type="dxa" w:w="1474"/>
          </w:tcPr>
          <w:p>
            <w:r/>
            <w:r>
              <w:rPr>
                <w:b w:val="0"/>
                <w:i w:val="0"/>
                <w:sz w:val="17"/>
              </w:rPr>
              <w:t>Q8</w:t>
            </w:r>
          </w:p>
        </w:tc>
      </w:tr>
      <w:tr>
        <w:tc>
          <w:tcPr>
            <w:tcW w:type="dxa" w:w="2608"/>
            <w:shd w:val="clear" w:color="auto" w:fill="DCE6F2"/>
          </w:tcPr>
          <w:p>
            <w:r/>
            <w:r>
              <w:rPr>
                <w:b/>
                <w:i w:val="0"/>
                <w:sz w:val="17"/>
              </w:rPr>
              <w:t>Spots du garde-manger</w:t>
            </w:r>
          </w:p>
        </w:tc>
        <w:tc>
          <w:tcPr>
            <w:tcW w:type="dxa" w:w="2948"/>
          </w:tcPr>
          <w:p>
            <w:r/>
            <w:r>
              <w:rPr>
                <w:b w:val="0"/>
                <w:i w:val="0"/>
                <w:sz w:val="17"/>
              </w:rPr>
              <w:t>3 au devis, 2 posés</w:t>
            </w:r>
          </w:p>
        </w:tc>
        <w:tc>
          <w:tcPr>
            <w:tcW w:type="dxa" w:w="3061"/>
          </w:tcPr>
          <w:p>
            <w:r/>
            <w:r>
              <w:rPr>
                <w:b w:val="0"/>
                <w:i w:val="0"/>
                <w:sz w:val="17"/>
              </w:rPr>
              <w:t>1 spot à poser ou à déduire</w:t>
            </w:r>
          </w:p>
        </w:tc>
        <w:tc>
          <w:tcPr>
            <w:tcW w:type="dxa" w:w="1474"/>
          </w:tcPr>
          <w:p>
            <w:r/>
            <w:r>
              <w:rPr>
                <w:b w:val="0"/>
                <w:i w:val="0"/>
                <w:sz w:val="17"/>
              </w:rPr>
              <w:t>Q12</w:t>
            </w:r>
          </w:p>
        </w:tc>
      </w:tr>
      <w:tr>
        <w:tc>
          <w:tcPr>
            <w:tcW w:type="dxa" w:w="2608"/>
            <w:shd w:val="clear" w:color="auto" w:fill="DCE6F2"/>
          </w:tcPr>
          <w:p>
            <w:r/>
            <w:r>
              <w:rPr>
                <w:b/>
                <w:i w:val="0"/>
                <w:sz w:val="17"/>
              </w:rPr>
              <w:t>Différentiels et disjoncteurs</w:t>
            </w:r>
          </w:p>
        </w:tc>
        <w:tc>
          <w:tcPr>
            <w:tcW w:type="dxa" w:w="2948"/>
          </w:tcPr>
          <w:p>
            <w:r/>
            <w:r>
              <w:rPr>
                <w:b w:val="0"/>
                <w:i w:val="0"/>
                <w:sz w:val="17"/>
              </w:rPr>
              <w:t>Tétrapolaires au devis, bipolaires posés ; ni 25 A ni 6 A</w:t>
            </w:r>
          </w:p>
        </w:tc>
        <w:tc>
          <w:tcPr>
            <w:tcW w:type="dxa" w:w="3061"/>
          </w:tcPr>
          <w:p>
            <w:r/>
            <w:r>
              <w:rPr>
                <w:b w:val="0"/>
                <w:i w:val="0"/>
                <w:sz w:val="17"/>
              </w:rPr>
              <w:t>Justification et différence de prix à déduire</w:t>
            </w:r>
          </w:p>
        </w:tc>
        <w:tc>
          <w:tcPr>
            <w:tcW w:type="dxa" w:w="1474"/>
          </w:tcPr>
          <w:p>
            <w:r/>
            <w:r>
              <w:rPr>
                <w:b w:val="0"/>
                <w:i w:val="0"/>
                <w:sz w:val="17"/>
              </w:rPr>
              <w:t>Q1</w:t>
            </w:r>
          </w:p>
        </w:tc>
      </w:tr>
      <w:tr>
        <w:tc>
          <w:tcPr>
            <w:tcW w:type="dxa" w:w="2608"/>
            <w:shd w:val="clear" w:color="auto" w:fill="DCE6F2"/>
          </w:tcPr>
          <w:p>
            <w:r/>
            <w:r>
              <w:rPr>
                <w:b/>
                <w:i w:val="0"/>
                <w:sz w:val="17"/>
              </w:rPr>
              <w:t>Points lumineux de la salle de douche</w:t>
            </w:r>
          </w:p>
        </w:tc>
        <w:tc>
          <w:tcPr>
            <w:tcW w:type="dxa" w:w="2948"/>
          </w:tcPr>
          <w:p>
            <w:r/>
            <w:r>
              <w:rPr>
                <w:b w:val="0"/>
                <w:i w:val="0"/>
                <w:sz w:val="17"/>
              </w:rPr>
              <w:t>2 au devis, 1 aux plans</w:t>
            </w:r>
          </w:p>
        </w:tc>
        <w:tc>
          <w:tcPr>
            <w:tcW w:type="dxa" w:w="3061"/>
          </w:tcPr>
          <w:p>
            <w:r/>
            <w:r>
              <w:rPr>
                <w:b w:val="0"/>
                <w:i w:val="0"/>
                <w:sz w:val="17"/>
              </w:rPr>
              <w:t>Si un seul est posé : à déduire ou à poser</w:t>
            </w:r>
          </w:p>
        </w:tc>
        <w:tc>
          <w:tcPr>
            <w:tcW w:type="dxa" w:w="1474"/>
          </w:tcPr>
          <w:p>
            <w:r/>
            <w:r>
              <w:rPr>
                <w:b w:val="0"/>
                <w:i w:val="0"/>
                <w:sz w:val="17"/>
              </w:rPr>
              <w:t>Q9</w:t>
            </w:r>
          </w:p>
        </w:tc>
      </w:tr>
    </w:tbl>
    <w:p>
      <w:pPr>
        <w:pStyle w:val="Heading1"/>
      </w:pPr>
      <w:r>
        <w:t>6. Les suppléments qu'il va présenter : notre position</w:t>
      </w:r>
    </w:p>
    <w:p>
      <w:r>
        <w:t>Règle : s'il figure aux plans signés, il est probablement dû, au prix unitaire du devis. S'il n'est ni au devis ni aux plans et n'a pas été commandé par écrit, il n'est pas dû.</w:t>
      </w:r>
    </w:p>
    <w:tbl>
      <w:tblPr>
        <w:tblStyle w:val="TableGrid"/>
        <w:tblW w:type="auto" w:w="0"/>
        <w:jc w:val="center"/>
        <w:tblLayout w:type="fixed"/>
        <w:tblLook w:firstColumn="1" w:firstRow="1" w:lastColumn="0" w:lastRow="0" w:noHBand="0" w:noVBand="1" w:val="04A0"/>
      </w:tblPr>
      <w:tblGrid>
        <w:gridCol w:w="2835"/>
        <w:gridCol w:w="2494"/>
        <w:gridCol w:w="3288"/>
        <w:gridCol w:w="1474"/>
      </w:tblGrid>
      <w:tr>
        <w:trPr>
          <w:tblHeader w:val="true"/>
        </w:trPr>
        <w:tc>
          <w:tcPr>
            <w:tcW w:type="dxa" w:w="2606"/>
            <w:shd w:val="clear" w:color="auto" w:fill="D9D9D9"/>
          </w:tcPr>
          <w:p>
            <w:r/>
            <w:r>
              <w:rPr>
                <w:b/>
                <w:i w:val="0"/>
                <w:sz w:val="17"/>
              </w:rPr>
              <w:t>Supplément</w:t>
            </w:r>
          </w:p>
        </w:tc>
        <w:tc>
          <w:tcPr>
            <w:tcW w:type="dxa" w:w="2606"/>
            <w:shd w:val="clear" w:color="auto" w:fill="D9D9D9"/>
          </w:tcPr>
          <w:p>
            <w:r/>
            <w:r>
              <w:rPr>
                <w:b/>
                <w:i w:val="0"/>
                <w:sz w:val="17"/>
              </w:rPr>
              <w:t>Situation</w:t>
            </w:r>
          </w:p>
        </w:tc>
        <w:tc>
          <w:tcPr>
            <w:tcW w:type="dxa" w:w="2606"/>
            <w:shd w:val="clear" w:color="auto" w:fill="D9D9D9"/>
          </w:tcPr>
          <w:p>
            <w:r/>
            <w:r>
              <w:rPr>
                <w:b/>
                <w:i w:val="0"/>
                <w:sz w:val="17"/>
              </w:rPr>
              <w:t>Notre position</w:t>
            </w:r>
          </w:p>
        </w:tc>
        <w:tc>
          <w:tcPr>
            <w:tcW w:type="dxa" w:w="2606"/>
            <w:shd w:val="clear" w:color="auto" w:fill="D9D9D9"/>
          </w:tcPr>
          <w:p>
            <w:r/>
            <w:r>
              <w:rPr>
                <w:b/>
                <w:i w:val="0"/>
                <w:sz w:val="17"/>
              </w:rPr>
              <w:t>Réf.</w:t>
            </w:r>
          </w:p>
        </w:tc>
      </w:tr>
      <w:tr>
        <w:tc>
          <w:tcPr>
            <w:tcW w:type="dxa" w:w="2835"/>
            <w:shd w:val="clear" w:color="auto" w:fill="FFF2CC"/>
          </w:tcPr>
          <w:p>
            <w:r/>
            <w:r>
              <w:rPr>
                <w:b/>
                <w:i w:val="0"/>
                <w:sz w:val="17"/>
              </w:rPr>
              <w:t>2 spots en plus dans la cuisine</w:t>
            </w:r>
          </w:p>
        </w:tc>
        <w:tc>
          <w:tcPr>
            <w:tcW w:type="dxa" w:w="2494"/>
          </w:tcPr>
          <w:p>
            <w:r/>
            <w:r>
              <w:rPr>
                <w:b w:val="0"/>
                <w:i w:val="0"/>
                <w:sz w:val="17"/>
              </w:rPr>
              <w:t>Aux plans signés, pas au devis</w:t>
            </w:r>
          </w:p>
        </w:tc>
        <w:tc>
          <w:tcPr>
            <w:tcW w:type="dxa" w:w="3288"/>
          </w:tcPr>
          <w:p>
            <w:r/>
            <w:r>
              <w:rPr>
                <w:b w:val="0"/>
                <w:i w:val="0"/>
                <w:sz w:val="17"/>
              </w:rPr>
              <w:t>Dû, au prix unitaire du devis</w:t>
            </w:r>
          </w:p>
        </w:tc>
        <w:tc>
          <w:tcPr>
            <w:tcW w:type="dxa" w:w="1474"/>
          </w:tcPr>
          <w:p>
            <w:r/>
            <w:r>
              <w:rPr>
                <w:b w:val="0"/>
                <w:i w:val="0"/>
                <w:sz w:val="17"/>
              </w:rPr>
              <w:t>Q14</w:t>
            </w:r>
          </w:p>
        </w:tc>
      </w:tr>
      <w:tr>
        <w:tc>
          <w:tcPr>
            <w:tcW w:type="dxa" w:w="2835"/>
            <w:shd w:val="clear" w:color="auto" w:fill="FFF2CC"/>
          </w:tcPr>
          <w:p>
            <w:r/>
            <w:r>
              <w:rPr>
                <w:b/>
                <w:i w:val="0"/>
                <w:sz w:val="17"/>
              </w:rPr>
              <w:t>Chambre 4 : point lumineux + 3 prises doubles</w:t>
            </w:r>
          </w:p>
        </w:tc>
        <w:tc>
          <w:tcPr>
            <w:tcW w:type="dxa" w:w="2494"/>
          </w:tcPr>
          <w:p>
            <w:r/>
            <w:r>
              <w:rPr>
                <w:b w:val="0"/>
                <w:i w:val="0"/>
                <w:sz w:val="17"/>
              </w:rPr>
              <w:t>Aux plans (2 prises), pas au devis</w:t>
            </w:r>
          </w:p>
        </w:tc>
        <w:tc>
          <w:tcPr>
            <w:tcW w:type="dxa" w:w="3288"/>
          </w:tcPr>
          <w:p>
            <w:r/>
            <w:r>
              <w:rPr>
                <w:b w:val="0"/>
                <w:i w:val="0"/>
                <w:sz w:val="17"/>
              </w:rPr>
              <w:t>Point + 2 prises au prix du devis ; la 3e prise à discuter</w:t>
            </w:r>
          </w:p>
        </w:tc>
        <w:tc>
          <w:tcPr>
            <w:tcW w:type="dxa" w:w="1474"/>
          </w:tcPr>
          <w:p>
            <w:r/>
            <w:r>
              <w:rPr>
                <w:b w:val="0"/>
                <w:i w:val="0"/>
                <w:sz w:val="17"/>
              </w:rPr>
              <w:t>Q37</w:t>
            </w:r>
          </w:p>
        </w:tc>
      </w:tr>
      <w:tr>
        <w:tc>
          <w:tcPr>
            <w:tcW w:type="dxa" w:w="2835"/>
            <w:shd w:val="clear" w:color="auto" w:fill="FFF2CC"/>
          </w:tcPr>
          <w:p>
            <w:r/>
            <w:r>
              <w:rPr>
                <w:b/>
                <w:i w:val="0"/>
                <w:sz w:val="17"/>
              </w:rPr>
              <w:t>Tableau du garage</w:t>
            </w:r>
          </w:p>
        </w:tc>
        <w:tc>
          <w:tcPr>
            <w:tcW w:type="dxa" w:w="2494"/>
          </w:tcPr>
          <w:p>
            <w:r/>
            <w:r>
              <w:rPr>
                <w:b w:val="0"/>
                <w:i w:val="0"/>
                <w:sz w:val="17"/>
              </w:rPr>
              <w:t>Aux plans, pas au devis</w:t>
            </w:r>
          </w:p>
        </w:tc>
        <w:tc>
          <w:tcPr>
            <w:tcW w:type="dxa" w:w="3288"/>
          </w:tcPr>
          <w:p>
            <w:r/>
            <w:r>
              <w:rPr>
                <w:b w:val="0"/>
                <w:i w:val="0"/>
                <w:sz w:val="17"/>
              </w:rPr>
              <w:t>Dû si on l'a demandé, prix détaillé exigé</w:t>
            </w:r>
          </w:p>
        </w:tc>
        <w:tc>
          <w:tcPr>
            <w:tcW w:type="dxa" w:w="1474"/>
          </w:tcPr>
          <w:p>
            <w:r/>
            <w:r>
              <w:rPr>
                <w:b w:val="0"/>
                <w:i w:val="0"/>
                <w:sz w:val="17"/>
              </w:rPr>
              <w:t>Q26</w:t>
            </w:r>
          </w:p>
        </w:tc>
      </w:tr>
      <w:tr>
        <w:tc>
          <w:tcPr>
            <w:tcW w:type="dxa" w:w="2835"/>
            <w:shd w:val="clear" w:color="auto" w:fill="FFF2CC"/>
          </w:tcPr>
          <w:p>
            <w:r/>
            <w:r>
              <w:rPr>
                <w:b/>
                <w:i w:val="0"/>
                <w:sz w:val="17"/>
              </w:rPr>
              <w:t>Alimentation de la chaudière</w:t>
            </w:r>
          </w:p>
        </w:tc>
        <w:tc>
          <w:tcPr>
            <w:tcW w:type="dxa" w:w="2494"/>
          </w:tcPr>
          <w:p>
            <w:r/>
            <w:r>
              <w:rPr>
                <w:b w:val="0"/>
                <w:i w:val="0"/>
                <w:sz w:val="17"/>
              </w:rPr>
              <w:t>Aux plans, pas au devis, non conforme</w:t>
            </w:r>
          </w:p>
        </w:tc>
        <w:tc>
          <w:tcPr>
            <w:tcW w:type="dxa" w:w="3288"/>
          </w:tcPr>
          <w:p>
            <w:r/>
            <w:r>
              <w:rPr>
                <w:b w:val="0"/>
                <w:i w:val="0"/>
                <w:sz w:val="17"/>
              </w:rPr>
              <w:t>Rien à payer tant qu'elle n'est pas conforme</w:t>
            </w:r>
          </w:p>
        </w:tc>
        <w:tc>
          <w:tcPr>
            <w:tcW w:type="dxa" w:w="1474"/>
          </w:tcPr>
          <w:p>
            <w:r/>
            <w:r>
              <w:rPr>
                <w:b w:val="0"/>
                <w:i w:val="0"/>
                <w:sz w:val="17"/>
              </w:rPr>
              <w:t>Q24</w:t>
            </w:r>
          </w:p>
        </w:tc>
      </w:tr>
      <w:tr>
        <w:tc>
          <w:tcPr>
            <w:tcW w:type="dxa" w:w="2835"/>
            <w:shd w:val="clear" w:color="auto" w:fill="FFF2CC"/>
          </w:tcPr>
          <w:p>
            <w:r/>
            <w:r>
              <w:rPr>
                <w:b/>
                <w:i w:val="0"/>
                <w:sz w:val="17"/>
              </w:rPr>
              <w:t>Spots au lieu de points classiques (escalier, hall ch. 1-2)</w:t>
            </w:r>
          </w:p>
        </w:tc>
        <w:tc>
          <w:tcPr>
            <w:tcW w:type="dxa" w:w="2494"/>
          </w:tcPr>
          <w:p>
            <w:r/>
            <w:r>
              <w:rPr>
                <w:b w:val="0"/>
                <w:i w:val="0"/>
                <w:sz w:val="17"/>
              </w:rPr>
              <w:t>Devis : points ; plans : spots</w:t>
            </w:r>
          </w:p>
        </w:tc>
        <w:tc>
          <w:tcPr>
            <w:tcW w:type="dxa" w:w="3288"/>
          </w:tcPr>
          <w:p>
            <w:r/>
            <w:r>
              <w:rPr>
                <w:b w:val="0"/>
                <w:i w:val="0"/>
                <w:sz w:val="17"/>
              </w:rPr>
              <w:t>5 spots comme convenu, sans surcoût</w:t>
            </w:r>
          </w:p>
        </w:tc>
        <w:tc>
          <w:tcPr>
            <w:tcW w:type="dxa" w:w="1474"/>
          </w:tcPr>
          <w:p>
            <w:r/>
            <w:r>
              <w:rPr>
                <w:b w:val="0"/>
                <w:i w:val="0"/>
                <w:sz w:val="17"/>
              </w:rPr>
              <w:t>Q28</w:t>
            </w:r>
          </w:p>
        </w:tc>
      </w:tr>
      <w:tr>
        <w:tc>
          <w:tcPr>
            <w:tcW w:type="dxa" w:w="2835"/>
            <w:shd w:val="clear" w:color="auto" w:fill="FFF2CC"/>
          </w:tcPr>
          <w:p>
            <w:r/>
            <w:r>
              <w:rPr>
                <w:b/>
                <w:i w:val="0"/>
                <w:sz w:val="17"/>
              </w:rPr>
              <w:t>Détecteur du garde-manger</w:t>
            </w:r>
          </w:p>
        </w:tc>
        <w:tc>
          <w:tcPr>
            <w:tcW w:type="dxa" w:w="2494"/>
          </w:tcPr>
          <w:p>
            <w:r/>
            <w:r>
              <w:rPr>
                <w:b w:val="0"/>
                <w:i w:val="0"/>
                <w:sz w:val="17"/>
              </w:rPr>
              <w:t>Plan envoyé, pas au devis</w:t>
            </w:r>
          </w:p>
        </w:tc>
        <w:tc>
          <w:tcPr>
            <w:tcW w:type="dxa" w:w="3288"/>
          </w:tcPr>
          <w:p>
            <w:r/>
            <w:r>
              <w:rPr>
                <w:b w:val="0"/>
                <w:i w:val="0"/>
                <w:sz w:val="17"/>
              </w:rPr>
              <w:t>Monnaie d'échange : à lâcher si le reste est réglé</w:t>
            </w:r>
          </w:p>
        </w:tc>
        <w:tc>
          <w:tcPr>
            <w:tcW w:type="dxa" w:w="1474"/>
          </w:tcPr>
          <w:p>
            <w:r/>
            <w:r>
              <w:rPr>
                <w:b w:val="0"/>
                <w:i w:val="0"/>
                <w:sz w:val="17"/>
              </w:rPr>
              <w:t>Q13</w:t>
            </w:r>
          </w:p>
        </w:tc>
      </w:tr>
      <w:tr>
        <w:tc>
          <w:tcPr>
            <w:tcW w:type="dxa" w:w="2835"/>
            <w:shd w:val="clear" w:color="auto" w:fill="FFF2CC"/>
          </w:tcPr>
          <w:p>
            <w:r/>
            <w:r>
              <w:rPr>
                <w:b/>
                <w:i w:val="0"/>
                <w:sz w:val="17"/>
              </w:rPr>
              <w:t>Point lumineux des combles</w:t>
            </w:r>
          </w:p>
        </w:tc>
        <w:tc>
          <w:tcPr>
            <w:tcW w:type="dxa" w:w="2494"/>
          </w:tcPr>
          <w:p>
            <w:r/>
            <w:r>
              <w:rPr>
                <w:b w:val="0"/>
                <w:i w:val="0"/>
                <w:sz w:val="17"/>
              </w:rPr>
              <w:t>Plans, pas au devis</w:t>
            </w:r>
          </w:p>
        </w:tc>
        <w:tc>
          <w:tcPr>
            <w:tcW w:type="dxa" w:w="3288"/>
          </w:tcPr>
          <w:p>
            <w:r/>
            <w:r>
              <w:rPr>
                <w:b w:val="0"/>
                <w:i w:val="0"/>
                <w:sz w:val="17"/>
              </w:rPr>
              <w:t>Dû au prix du devis s'il a été demandé</w:t>
            </w:r>
          </w:p>
        </w:tc>
        <w:tc>
          <w:tcPr>
            <w:tcW w:type="dxa" w:w="1474"/>
          </w:tcPr>
          <w:p>
            <w:r/>
            <w:r>
              <w:rPr>
                <w:b w:val="0"/>
                <w:i w:val="0"/>
                <w:sz w:val="17"/>
              </w:rPr>
              <w:t>Q39</w:t>
            </w:r>
          </w:p>
        </w:tc>
      </w:tr>
    </w:tbl>
    <w:p>
      <w:pPr>
        <w:pStyle w:val="Heading1"/>
      </w:pPr>
      <w:r>
        <w:t>7. Marge de négociation</w:t>
      </w:r>
    </w:p>
    <w:p>
      <w:r>
        <w:rPr>
          <w:b/>
        </w:rPr>
        <w:t>On peut lâcher :</w:t>
      </w:r>
    </w:p>
    <w:p>
      <w:pPr>
        <w:pStyle w:val="ListBullet"/>
      </w:pPr>
      <w:r>
        <w:t>Accepter les suppléments qui figurent aux plans signés, au prix unitaire du devis, en échange de corrections rapides et gratuites de tous les manquements.</w:t>
      </w:r>
    </w:p>
    <w:p>
      <w:pPr>
        <w:pStyle w:val="ListBullet"/>
      </w:pPr>
      <w:r>
        <w:t>Laisser les spots dans l'escalier et le hall des chambres 1-2 au lieu des points classiques, à condition qu'il n'y ait pas de surcoût.</w:t>
      </w:r>
    </w:p>
    <w:p>
      <w:pPr>
        <w:pStyle w:val="ListBullet"/>
      </w:pPr>
      <w:r>
        <w:t>Ne pas réclamer de moins-value sur les petits écarts (détecteur du garde-manger, une prise en plus en chambre 4) si le reste est réglé sans discussion.</w:t>
      </w:r>
    </w:p>
    <w:p>
      <w:r>
        <w:rPr>
          <w:b/>
        </w:rPr>
        <w:t>On ne lâche pas :</w:t>
      </w:r>
    </w:p>
    <w:p>
      <w:pPr>
        <w:pStyle w:val="ListBullet"/>
      </w:pPr>
      <w:r>
        <w:t>Tout ce qui est au devis et pas fait (ou mal fait) est corrigé sans frais.</w:t>
      </w:r>
    </w:p>
    <w:p>
      <w:pPr>
        <w:pStyle w:val="ListBullet"/>
      </w:pPr>
      <w:r>
        <w:t>Aucun supplément n'est dû s'il n'est ni au devis ni aux plans signés et qu'il n'a pas été commandé par écrit.</w:t>
      </w:r>
    </w:p>
    <w:p>
      <w:pPr>
        <w:pStyle w:val="ListBullet"/>
      </w:pPr>
      <w:r>
        <w:t>Rien de neuf n'est accepté oralement : chaque supplément ou modification fait l'objet d'un prix écrit avant exécution.</w:t>
      </w:r>
    </w:p>
    <w:p>
      <w:pPr>
        <w:pStyle w:val="ListBullet"/>
      </w:pPr>
      <w:r>
        <w:t>Le solde n'est payé qu'une fois les réserves levées et le rapport de contrôle conforme reçu.</w:t>
      </w:r>
    </w:p>
    <w:p>
      <w:pPr>
        <w:pStyle w:val="Heading1"/>
      </w:pPr>
      <w:r>
        <w:t>8. Ce qu'on doit obtenir en sortant</w:t>
      </w:r>
    </w:p>
    <w:p>
      <w:pPr>
        <w:pStyle w:val="ListNumber"/>
      </w:pPr>
      <w:r>
        <w:t>Une date de retour sur chantier pour les corrections, et qui vient.</w:t>
      </w:r>
    </w:p>
    <w:p>
      <w:pPr>
        <w:pStyle w:val="ListNumber"/>
      </w:pPr>
      <w:r>
        <w:t>La date du contrôle de conformité par l'organisme agréé, et l'engagement de transmettre le rapport.</w:t>
      </w:r>
    </w:p>
    <w:p>
      <w:pPr>
        <w:pStyle w:val="ListNumber"/>
      </w:pPr>
      <w:r>
        <w:t>Les schémas unifilaire et de position définitifs et un listing du tableau à la numérotation des chambres du devis.</w:t>
      </w:r>
    </w:p>
    <w:p>
      <w:pPr>
        <w:pStyle w:val="ListNumber"/>
      </w:pPr>
      <w:r>
        <w:t>Le PV de mesure de la terre.</w:t>
      </w:r>
    </w:p>
    <w:p>
      <w:pPr>
        <w:pStyle w:val="ListNumber"/>
      </w:pPr>
      <w:r>
        <w:t>Un décompte final écrit : moins-values et suppléments, poste par poste.</w:t>
      </w:r>
    </w:p>
    <w:p>
      <w:pPr>
        <w:pStyle w:val="ListNumber"/>
      </w:pPr>
      <w:r>
        <w:t>Un compte rendu envoyé par mail sous 48 h, reprenant chaque point décidé, avec les réponses notées dans le PDF des questions.</w:t>
      </w:r>
    </w:p>
    <w:p>
      <w:pPr>
        <w:pStyle w:val="Heading1"/>
      </w:pPr>
      <w:r>
        <w:t>9. Points d'attention</w:t>
      </w:r>
    </w:p>
    <w:p>
      <w:pPr>
        <w:pStyle w:val="ListBullet"/>
      </w:pPr>
      <w:r>
        <w:t>La numérotation des chambres diffère entre le devis, les plans et le tableau. Toujours désigner une chambre par sa surface (14,12 / 16,13 / 16,63 / 11,69 m²), pas par son numéro.</w:t>
      </w:r>
    </w:p>
    <w:p>
      <w:pPr>
        <w:pStyle w:val="ListBullet"/>
      </w:pPr>
      <w:r>
        <w:t>Ne pas valider de supplément sur place. Répondre : « Envoyez-nous un prix, on revient vers vous. »</w:t>
      </w:r>
    </w:p>
    <w:p>
      <w:pPr>
        <w:pStyle w:val="ListBullet"/>
      </w:pPr>
      <w:r>
        <w:t>S'il conteste un manquement, montrer la ligne du devis et la photo, sans débattre au-delà.</w:t>
      </w:r>
    </w:p>
    <w:p>
      <w:pPr>
        <w:pStyle w:val="ListBullet"/>
      </w:pPr>
      <w:r>
        <w:t>Garder le ton factuel : le but est de finir le chantier, pas de régler des comptes.</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