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814"/>
        <w:gridCol w:w="7541"/>
      </w:tblGrid>
      <w:tr>
        <w:tc>
          <w:tcPr>
            <w:tcW w:type="dxa" w:w="1814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0755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ir-00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0755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Министерство науки и высшего образования Российской Федерации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Калужский филиал федерального государственного автономного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образовательного учреждения высшего образования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«Московский государственный технический университет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имени Н.Э. Баумана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(национальный исследовательский университет)»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(КФ МГТУ им. Н.Э. Баумана)</w:t>
            </w:r>
          </w:p>
        </w:tc>
      </w:tr>
    </w:tbl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360" w:lineRule="auto" w:before="24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ФАКУЛЬТЕТ ИУК Информатика и управление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КАФЕДРА ИУК3 Системы автоматического управления</w:t>
      </w:r>
    </w:p>
    <w:p>
      <w:pPr>
        <w:keepNext w:val="0"/>
        <w:spacing w:line="240" w:lineRule="auto" w:before="40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u w:val="none"/>
        </w:rPr>
        <w:t>ОТЧЕТ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u w:val="none"/>
        </w:rPr>
        <w:t>по НАУЧНО-ИССЛЕДОВАТЕЛЬСКОЙ РАБОТЕ</w:t>
      </w:r>
    </w:p>
    <w:p>
      <w:pPr>
        <w:keepNext w:val="0"/>
        <w:spacing w:line="36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НА ТЕМУ:</w:t>
      </w:r>
    </w:p>
    <w:p>
      <w:pPr>
        <w:keepNext w:val="0"/>
        <w:spacing w:line="276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36"/>
          <w:u w:val="none"/>
        </w:rPr>
        <w:t>Исследование подходов к построению веб-системы моделирования САУ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969"/>
        <w:gridCol w:w="1417"/>
        <w:gridCol w:w="1417"/>
        <w:gridCol w:w="2551"/>
      </w:tblGrid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 группы ИУК3-71Б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Исаев А.А.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 НИР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Макаренков А.М.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Оценка руководителя НИР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Баллов, 30-50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(Дата)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Оценка за защиту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Баллов, 30-50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(Дата)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Итоговая оценка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Баллов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 пятибалльной шкале)</w:t>
            </w:r>
          </w:p>
        </w:tc>
      </w:tr>
    </w:tbl>
    <w:p>
      <w:pPr>
        <w:keepNext w:val="0"/>
        <w:spacing w:line="288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Комиссия: ____________  ______________________</w:t>
      </w:r>
    </w:p>
    <w:p>
      <w:pPr>
        <w:keepNext w:val="0"/>
        <w:spacing w:line="288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____________  ______________________</w:t>
      </w:r>
    </w:p>
    <w:p>
      <w:pPr>
        <w:keepNext w:val="0"/>
        <w:spacing w:line="288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____________  ______________________</w:t>
      </w:r>
    </w:p>
    <w:p>
      <w:pPr>
        <w:keepNext w:val="0"/>
        <w:spacing w:line="360" w:lineRule="auto" w:before="36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Калуга, 2026</w:t>
      </w:r>
    </w:p>
    <w:p>
      <w:r>
        <w:br w:type="page"/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Министерство науки и высшего образования Российской Федерации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Калужский филиал федерального государственного автономного образовательного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учреждения высшего образования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«Московский государственный технический университет имени Н.Э. Баумана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(национальный исследовательский университет)»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(КФ МГТУ им. Н.Э. Баумана)</w:t>
      </w:r>
    </w:p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24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УТВЕРЖДАЮ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Заведующий кафедрой ИУК3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 (Д.В. Мельников)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«___» __________ 2026 г.</w:t>
      </w:r>
    </w:p>
    <w:p>
      <w:pPr>
        <w:keepNext w:val="0"/>
        <w:spacing w:line="36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З А Д А Н И Е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научно-исследовательскую работу</w:t>
      </w:r>
    </w:p>
    <w:p>
      <w:pPr>
        <w:keepNext w:val="0"/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тему:</w:t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Исследование подходов к построению веб-системы моделирования САУ</w:t>
      </w:r>
    </w:p>
    <w:p>
      <w:pPr>
        <w:keepNext w:val="0"/>
        <w:spacing w:line="360" w:lineRule="auto" w:before="0" w:after="8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Задание: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Проанализировать существующие средства моделирования систем автоматического управления и сформулировать требования к веб-системе моделирования.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Исследовать варианты архитектуры веб-системы и выбрать, где и как выполнять расчёты.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Сравнить подходы к получению математической модели по структурной схеме и обосновать выбор.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Экспериментально сравнить численные методы решения уравнений модели: точность, устойчивость, затраты времени.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Определить состав видов анализа системы и обобщить результаты исследования.</w:t>
      </w:r>
    </w:p>
    <w:p>
      <w:pPr>
        <w:keepNext w:val="0"/>
        <w:spacing w:line="360" w:lineRule="auto" w:before="36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Дата выдачи задания «___» __________ 2026 г.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268"/>
        <w:gridCol w:w="567"/>
        <w:gridCol w:w="3118"/>
        <w:gridCol w:w="3402"/>
      </w:tblGrid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Макаренков А.М.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Исаев А.А.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</w:tbl>
    <w:p>
      <w:pPr>
        <w:sectPr>
          <w:footerReference w:type="default" r:id="rId11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keepNext w:val="0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Содержание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Перечень сокращений и обозначений</w:t>
        <w:tab/>
        <w:t>4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  <w:tab/>
        <w:t>5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 Сбор и анализ материала, анализ литературы</w:t>
        <w:tab/>
        <w:t>7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1.1. Актуальность темы исследования</w:t>
        <w:tab/>
        <w:t>7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1.2. Обзор существующих средств моделирования</w:t>
        <w:tab/>
        <w:t>7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1.3. Требования к разрабатываемой системе</w:t>
        <w:tab/>
        <w:t>8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1.4. Объект, предмет, цель и задачи исследования</w:t>
        <w:tab/>
        <w:t>9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 Проведение научного исследования, расчётов</w:t>
        <w:tab/>
        <w:t>10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2.1. Где выполнять расчёты: выбор архитектуры</w:t>
        <w:tab/>
        <w:t>10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2.2. Подходы к получению модели по схеме</w:t>
        <w:tab/>
        <w:t>11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2.3. Численные методы решения уравнений модели</w:t>
        <w:tab/>
        <w:t>13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2.4. Эксперимент 1: точность в зависимости от шага</w:t>
        <w:tab/>
        <w:t>13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2.5. Эксперимент 2: число шагов для заданной точности</w:t>
        <w:tab/>
        <w:t>15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2.6. Эксперимент 3: устойчивость метода Эйлера</w:t>
        <w:tab/>
        <w:t>15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2.7. Эксперимент 4: время расчёта</w:t>
        <w:tab/>
        <w:t>16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2.8. Виды анализа в системе</w:t>
        <w:tab/>
        <w:t>17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 Обобщение полученных результатов</w:t>
        <w:tab/>
        <w:t>18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3.1. Научные и практические результаты</w:t>
        <w:tab/>
        <w:t>18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3.2. Ограничения и направления дальнейшей работы</w:t>
        <w:tab/>
        <w:t>18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  <w:tab/>
        <w:t>19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использованных источников</w:t>
        <w:tab/>
        <w:t>20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  <w:tab/>
        <w:t>21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Перечень сокращений и обозначений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САУ – система автоматического управления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ПФ – передаточная функция</w:t>
      </w:r>
    </w:p>
    <w:p>
      <w:pPr>
        <w:keepNext w:val="0"/>
        <w:spacing w:line="360" w:lineRule="auto" w:before="0" w:after="0"/>
        <w:ind w:firstLine="0"/>
        <w:jc w:val="left"/>
      </w:pP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B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C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D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матрицы модели </w:t>
      </w:r>
      <m:oMath xmlns:a="http://schemas.openxmlformats.org/drawingml/2006/main" xmlns:pic="http://schemas.openxmlformats.org/drawingml/2006/picture">
        <m:acc>
          <m:accPr>
            <m:chr m:val="̇"/>
          </m:accPr>
          <m:e>
            <m:r>
              <w:rPr>
                <w:rFonts w:ascii="Cambria Math" w:hAnsi="Cambria Math" w:cs="Cambria Math"/>
                <w:sz w:val="28"/>
                <w:szCs w:val="28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A</m:t>
        </m:r>
        <m:r>
          <w:rPr>
            <w:rFonts w:ascii="Cambria Math" w:hAnsi="Cambria Math" w:cs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B</m:t>
        </m:r>
        <m:r>
          <w:rPr>
            <w:rFonts w:ascii="Cambria Math" w:hAnsi="Cambria Math" w:cs="Cambria Math"/>
            <w:sz w:val="28"/>
            <w:szCs w:val="28"/>
          </w:rPr>
          <m:t>u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C</m:t>
        </m:r>
        <m:r>
          <w:rPr>
            <w:rFonts w:ascii="Cambria Math" w:hAnsi="Cambria Math" w:cs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D</m:t>
        </m:r>
        <m:r>
          <w:rPr>
            <w:rFonts w:ascii="Cambria Math" w:hAnsi="Cambria Math" w:cs="Cambria Math"/>
            <w:sz w:val="28"/>
            <w:szCs w:val="28"/>
          </w:rPr>
          <m:t>u</m:t>
        </m:r>
      </m:oMath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RK4 – метод Рунге–Кутты 4-го порядка с постоянным шагом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RK45 – метод Дорманда–Принса с автоматическим выбором шага</w:t>
      </w:r>
    </w:p>
    <w:p>
      <w:pPr>
        <w:keepNext w:val="0"/>
        <w:spacing w:line="360" w:lineRule="auto" w:before="0" w:after="0"/>
        <w:ind w:firstLine="0"/>
        <w:jc w:val="left"/>
      </w:pP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h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шаг интегрирования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API – программный интерфейс сервера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JSON – текстовый формат обмена данными между браузером и сервером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Научно-исследовательская работа выполнялась по направлению подготовки 27.03.04 «Управление в технических системах». Она является исследовательской частью выпускной квалификационной работы «Веб-ориентированная система визуального моделирования систем автоматического управления».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изучения и проектирования систем автоматического управления (САУ) инженеры и студенты используют программы блочного моделирования. В них схема системы собирается из блоков-звеньев, а программа рассчитывает, как система ведёт себя во времени, устойчива ли она и какие у неё частотные характеристики. Самая известная такая программа, MATLAB/Simulink, для российских вузов стала труднодоступна, а другие программы требуют установки на каждый компьютер и не всегда показывают, как получен результат.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Поэтому разрабатывается веб-система моделирования: она открывается в обычном браузере и не требует установки. Прежде чем её строить, нужно ответить на несколько вопросов. Какие возможности есть у существующих программ и что из них нужно? Где выполнять расчёты — в браузере или на сервере? Как превращать нарисованную схему в уравнения? Каким численным методом решать эти уравнения? Этим вопросам и посвящена работа.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Цель работы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исследовать и обосновать подходы к построению веб-системы моделирования САУ: архитектуру, способ получения модели по схеме и численные методы.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этого решались задачи: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проанализировать существующие средства моделирования и сформулировать требования к системе;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сравнить варианты архитектуры и выбрать, где выполнять расчёты;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сравнить подходы к получению модели по структурной схеме;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экспериментально сравнить численные методы решения уравнений модели;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определить состав видов анализа и обобщить результаты.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 Сбор и анализ материала, анализ литературы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1.1. Актуальность темы исследования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Структурная схема — основной язык теории автоматического управления [2, 3]. Человеку удобно рассуждать звеньями и связями, а компьютеру — решать систему уравнений. Программа блочного моделирования соединяет одно с другим: пользователь рисует схему, программа считает.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 2022 г. компания MathWorks, разработчик MATLAB/Simulink, прекратила работу в России, и получить новые лицензии для вузов стало практически невозможно. Отечественные и свободные программы есть, но большинство из них нужно устанавливать на компьютер, а коммерческие требуют лицензий. Для учебного процесса полезна среда, которая работает в браузере, бесплатна и показывает, какие уравнения она составила по схеме. Поэтому исследование подходов к построению такой среды актуально.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1.2. Обзор существующих средств моделирования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Рассмотрены пять наиболее известных средств блочного моделирования (таблица 1). Сведения взяты с сайтов разработчиков и из документации [5–9].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 – Средства моделирования САУ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608"/>
        <w:gridCol w:w="2154"/>
        <w:gridCol w:w="2551"/>
      </w:tblGrid>
      <w:tr>
        <w:trPr>
          <w:cantSplit/>
        </w:trPr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Средство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Как устроено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Доступ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Недостатки для учебных задач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MATLAB / Simulink (MathWorks, США)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Блочные схемы, поблочный расчёт; общую модель схемы даёт отдельный пакет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Коммерческая лицензия, установка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 2022 г. новые лицензии в РФ недоступны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Scilab / Xcos (Франция)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Блочные схемы гибридных систем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Бесплатно, открытый код, установка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Устаревший интерфейс, модель схемы пользователю не показывается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OpenModelica (консорциум OSMC)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Модели в виде уравнений на языке Modelica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Бесплатно, открытый код, установка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Сложна для начинающих: нужно изучать язык Modelica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SimInTech (Россия)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Блочные схемы, расчёт в реальном времени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Коммерческая лицензия, установка под Windows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Закрытый код, без лицензии возможности ограничены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 w:val="0"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Engee (Россия)</w:t>
            </w:r>
          </w:p>
        </w:tc>
        <w:tc>
          <w:tcPr>
            <w:tcW w:type="dxa" w:w="2608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Блочные схемы и вычислительная среда</w:t>
            </w:r>
          </w:p>
        </w:tc>
        <w:tc>
          <w:tcPr>
            <w:tcW w:type="dxa" w:w="2154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Через сайт, есть бесплатный режим</w:t>
            </w:r>
          </w:p>
        </w:tc>
        <w:tc>
          <w:tcPr>
            <w:tcW w:type="dxa" w:w="2551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Закрытый код, требует регистрации и постоянного подключения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Из обзора видно, что ни одно средство не сочетает сразу три свойства, важные для учебного процесса: работу в браузере без установки, бесплатность и открытость — возможность увидеть, какие уравнения программа составила по схеме и как она их решает.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1.3. Требования к разрабатываемой системе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 результатам обзора сформулированы требования к веб-системе: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работа в браузере, без установки программ на компьютер пользователя;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редактор структурных схем с типовыми звеньями и подсистемами (блоками, внутри которых своя схема);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расчёт переходных процессов с выбором численного метода;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анализ устойчивости и частотных характеристик;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показ полученной модели системы и объяснение, почему схему нельзя рассчитать, если это так;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сохранение проектов и возможность повторить любой расчёт из консоли для исследований.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1.4. Объект, предмет, цель и задачи исследования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Объект исследования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веб-система визуального моделирования линейных непрерывных САУ.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Предмет исследования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подходы к её построению: архитектура, способ получения математической модели по схеме и численные методы решения уравнений модели.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Цель и задачи исследования сформулированы во введении.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 Проведение научного исследования, расчётов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2.1. Где выполнять расчёты: выбор архитектуры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Веб-система состоит из двух частей: того, что работает в браузере пользователя (клиент), и того, что работает на сервере. Редактор схем и графики, очевидно, должны быть в браузере. Главный вопрос — где выполнять расчёты. Два варианта сравниваются в таблице 2.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2 – Варианты размещения расчётов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3175"/>
        <w:gridCol w:w="3572"/>
      </w:tblGrid>
      <w:tr>
        <w:trPr>
          <w:cantSplit/>
        </w:trPr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Критерий</w:t>
            </w:r>
          </w:p>
        </w:tc>
        <w:tc>
          <w:tcPr>
            <w:tcW w:type="dxa" w:w="317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Расчёт в браузере (JavaScript)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Расчёт на сервере (Python)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Библиотеки линейной алгебры и решатели</w:t>
            </w:r>
          </w:p>
        </w:tc>
        <w:tc>
          <w:tcPr>
            <w:tcW w:type="dxa" w:w="317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Немногочисленны, менее проверены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NumPy и SciPy — стандарт научных расчётов [10, 11]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Нагрузка на компьютер пользователя</w:t>
            </w:r>
          </w:p>
        </w:tc>
        <w:tc>
          <w:tcPr>
            <w:tcW w:type="dxa" w:w="317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Вся на нём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Минимальная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Работа без сети</w:t>
            </w:r>
          </w:p>
        </w:tc>
        <w:tc>
          <w:tcPr>
            <w:tcW w:type="dxa" w:w="317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Возможна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Нужен доступ к серверу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Повторение расчёта для исследования</w:t>
            </w:r>
          </w:p>
        </w:tc>
        <w:tc>
          <w:tcPr>
            <w:tcW w:type="dxa" w:w="317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Только через интерфейс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Те же функции вызываются из консольных сценариев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 w:val="0"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Проверка правильности</w:t>
            </w:r>
          </w:p>
        </w:tc>
        <w:tc>
          <w:tcPr>
            <w:tcW w:type="dxa" w:w="3175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Нужно дублировать расчёты</w:t>
            </w:r>
          </w:p>
        </w:tc>
        <w:tc>
          <w:tcPr>
            <w:tcW w:type="dxa" w:w="3572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Один вычислительный модуль для всего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Выбран расчёт на сервере. Главная причина — точность и проверяемость: библиотеки NumPy и SciPy много лет используются в научных расчётах, а одни и те же функции вызываются и из интерфейса, и из консольных сценариев, которыми получены все таблицы этого отчёта. Недостаток — нужен доступ к серверу — для учебного класса несущественен.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Получившаяся архитектура показана на рисунке 1. Браузер отправляет схему на сервер в формате JSON — это текстовая запись списка блоков и соединений. Сервер (FastAPI) передаёт её вычислительному ядру, а результат возвращает браузеру. Проекты пользователей хранятся в базе данных SQLite.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8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 – Архитектура веб-системы моделирования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Так выглядит окно системы в браузере (рисунок 2).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2 – Окно системы: (1) библиотека блоков, (2) схема, (3) запуск расчёта, (4) вкладка с моделью системы, (5) размеры модели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2.2. Подходы к получению модели по схеме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Чтобы рассчитать схему, программа должна превратить её в уравнения. Рассматривались три подхода (рисунок 3 и таблица 3).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85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approach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85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3 – Поблочный расчёт и единая модель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3 – Подходы к получению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7"/>
        <w:gridCol w:w="3061"/>
        <w:gridCol w:w="2154"/>
        <w:gridCol w:w="2211"/>
      </w:tblGrid>
      <w:tr>
        <w:trPr>
          <w:cantSplit/>
        </w:trPr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Подход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Суть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Плюсы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Минусы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Поблочный расчёт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На каждом шаге времени блоки по очереди считают свои выходы и производные — так работает обычное моделирование в Simulink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Прост, подходит для нелинейных блоков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Нет общих уравнений системы; не считает петли, где сигнал проходит мгновенно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Уравнения на языке моделирования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Пользователь описывает систему уравнениями, программа упрощает их сама (OpenModelica)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Очень гибок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Избыточен для структурных схем САУ, сложен для студентов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 w:val="0"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Единая модель в пространстве состояний</w:t>
            </w:r>
          </w:p>
        </w:tc>
        <w:tc>
          <w:tcPr>
            <w:tcW w:type="dxa" w:w="3061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 xml:space="preserve">Схема один раз превращается в матрицы </w:t>
            </w:r>
            <m:oMath xmlns:a="http://schemas.openxmlformats.org/drawingml/2006/main" xmlns:pic="http://schemas.openxmlformats.org/drawingml/2006/picture">
              <m:r>
                <w:rPr>
                  <w:rFonts w:ascii="Cambria Math" w:hAnsi="Cambria Math" w:cs="Cambria Math"/>
                  <w:sz w:val="22"/>
                  <w:szCs w:val="22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22"/>
                  <w:szCs w:val="22"/>
                </w:rPr>
                <m:t>,</m:t>
              </m:r>
              <m:r>
                <w:rPr>
                  <w:rFonts w:ascii="Cambria Math" w:hAnsi="Cambria Math" w:cs="Cambria Math"/>
                  <w:sz w:val="22"/>
                  <w:szCs w:val="22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22"/>
                  <w:szCs w:val="22"/>
                </w:rPr>
                <m:t>,</m:t>
              </m:r>
              <m:r>
                <w:rPr>
                  <w:rFonts w:ascii="Cambria Math" w:hAnsi="Cambria Math" w:cs="Cambria Math"/>
                  <w:sz w:val="22"/>
                  <w:szCs w:val="22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22"/>
                  <w:szCs w:val="22"/>
                </w:rPr>
                <m:t>,</m:t>
              </m:r>
              <m:r>
                <w:rPr>
                  <w:rFonts w:ascii="Cambria Math" w:hAnsi="Cambria Math" w:cs="Cambria Math"/>
                  <w:sz w:val="22"/>
                  <w:szCs w:val="22"/>
                </w:rPr>
                <m:t>D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 xml:space="preserve"> всей системы</w:t>
            </w:r>
          </w:p>
        </w:tc>
        <w:tc>
          <w:tcPr>
            <w:tcW w:type="dxa" w:w="2154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Сразу даёт полюса, ПФ, частотные характеристики; модель можно показать</w:t>
            </w:r>
          </w:p>
        </w:tc>
        <w:tc>
          <w:tcPr>
            <w:tcW w:type="dxa" w:w="2211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Только линейные звенья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Первая версия ядра системы использовала поблочный расчёт. Чтобы сравнить подходы на практике, обе версии ядра проверены на 16 схемах с известным ответом: последовательные, параллельные и замкнутые соединения, подсистемы, петли без инерционных звеньев. Единая модель построена для всех 16 схем и совпала с ручным расчётом с точностью до ошибки округления, а поблочный расчёт не справился с 2 схемами, в которых сигнал проходит по петле мгновенно.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Кроме того, только единая модель даёт то, что нужно для анализа САУ: полюса системы — это собственные числа матрицы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A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передаточная функция —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C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s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  <w:sz w:val="28"/>
                    <w:szCs w:val="28"/>
                  </w:rPr>
                  <m:t>−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A</m:t>
                </m:r>
              </m:e>
            </m:d>
          </m:e>
          <m:sup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−</m:t>
            </m:r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sup>
        </m:sSup>
        <m:r>
          <w:rPr>
            <w:rFonts w:ascii="Cambria Math" w:hAnsi="Cambria Math" w:cs="Cambria Math"/>
            <w:sz w:val="28"/>
            <w:szCs w:val="28"/>
          </w:rPr>
          <m:t>B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D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, а точное решение для проверки численных методов (раздел 2.3) тоже получается из матриц. Ограничение — только линейные звенья — для курса теории линейных систем несущественно.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Поэтому выбран подход единой модели. Алгоритм построения матриц по схеме и его проверка подробно разработаны в курсовом проекте «Разработка подсистемы построения математической модели САУ в пространстве состояний по структурной схеме».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2.3. Численные методы решения уравнений модели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Модель </w:t>
      </w:r>
      <m:oMath xmlns:a="http://schemas.openxmlformats.org/drawingml/2006/main" xmlns:pic="http://schemas.openxmlformats.org/drawingml/2006/picture">
        <m:acc>
          <m:accPr>
            <m:chr m:val="̇"/>
          </m:accPr>
          <m:e>
            <m:r>
              <w:rPr>
                <w:rFonts w:ascii="Cambria Math" w:hAnsi="Cambria Math" w:cs="Cambria Math"/>
                <w:sz w:val="28"/>
                <w:szCs w:val="28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A</m:t>
        </m:r>
        <m:r>
          <w:rPr>
            <w:rFonts w:ascii="Cambria Math" w:hAnsi="Cambria Math" w:cs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B</m:t>
        </m:r>
        <m:r>
          <w:rPr>
            <w:rFonts w:ascii="Cambria Math" w:hAnsi="Cambria Math" w:cs="Cambria Math"/>
            <w:sz w:val="28"/>
            <w:szCs w:val="28"/>
          </w:rPr>
          <m:t>r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это система дифференциальных уравнений. Решать её приходится численно: время делится на шаги длиной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h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, и состояние пересчитывается от шага к шагу. Сравнивались три метода [4]: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метод Эйлера — на каждом шаге один раз вычисляет скорость изменения состояния и делает шаг по ней. Он самый простой, но неточный: скорость в начале шага считается постоянной на весь шаг;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метод Рунге–Кутты 4-го порядка (RK4) — вычисляет скорость четыре раза внутри шага и усредняет, поэтому намного точнее при том же шаге;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метод RK45 (Дорманда–Принса) — сам выбирает шаг так, чтобы ошибка не превышала заданную.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Эталоном служило точное решение. Для линейной модели его можно вычислить через матричную экспоненту — это ещё одно преимущество единой модели. Исследования выполнены сценарием: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cd backend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python scripts/nir_solver_study.py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2.4. Эксперимент 1: точность в зависимости от шага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Порядок метода показывает, как быстро уменьшается ошибка при уменьшении шага. Он вычислялся как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sSub>
          <m:e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log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2</m:t>
            </m:r>
          </m:sub>
        </m:sSub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ε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h</m:t>
                </m:r>
              </m:e>
            </m:d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ε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  <w:sz w:val="28"/>
                    <w:szCs w:val="28"/>
                  </w:rPr>
                  <m:t>/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2</m:t>
                </m:r>
              </m:e>
            </m:d>
          </m:den>
        </m:f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где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ε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h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наибольшая ошибка при шаге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h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 Результаты для контура с ПИД-регулятором приведены в таблице 4 и на рисунке 4.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4 – Ошибка методов на контуре с ПИД-регулятором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587"/>
        <w:gridCol w:w="1587"/>
        <w:gridCol w:w="1587"/>
        <w:gridCol w:w="1360"/>
        <w:gridCol w:w="1360"/>
      </w:tblGrid>
      <w:tr>
        <w:trPr>
          <w:cantSplit/>
        </w:trP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h, с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Эйлер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RK4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RK45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 Эйлер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 RK4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0,2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1,2·10²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3,9·10⁻³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7,3·10⁻⁹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—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—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0,1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2,1·10⁰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2,4·10⁻⁴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7,3·10⁻⁹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5,83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4,04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0,05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2,8·10⁻¹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1,5·10⁻⁵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7,3·10⁻⁹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2,94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4,02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0,025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1,1·10⁻¹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9,1·10⁻⁷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7,4·10⁻⁹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1,38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4,01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 w:val="0"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0,0125</w:t>
            </w:r>
          </w:p>
        </w:tc>
        <w:tc>
          <w:tcPr>
            <w:tcW w:type="dxa" w:w="1587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4,7·10⁻²</w:t>
            </w:r>
          </w:p>
        </w:tc>
        <w:tc>
          <w:tcPr>
            <w:tcW w:type="dxa" w:w="1587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5,7·10⁻⁸</w:t>
            </w:r>
          </w:p>
        </w:tc>
        <w:tc>
          <w:tcPr>
            <w:tcW w:type="dxa" w:w="1587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7,4·10⁻⁹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1,15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4,01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2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error_vs_ste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4 – Ошибка численных методов в зависимости от шага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Порядок метода Эйлера приближается к 1, метода RK4 — к 4, как и предсказывает теория [4]. На практике это значит: если уменьшить шаг вдвое, ошибка метода Эйлера уменьшится вдвое, а ошибка RK4 — в 16 раз. Ошибка RK45 почти не зависит от шага вывода, потому что метод сам выбирает свой внутренний шаг. Разницу хорошо видно и на графике переходного процесса при одном и том же шаге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h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0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1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(рисунок 5): кривая RK4 совпадает с точным решением, а кривая метода Эйлера заметно отклоняется.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8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euler_vs_rk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5 – Переходный процесс колебательного звена: Эйлер и RK4 при h = 0,1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2.5. Эксперимент 2: число шагов для заданной точности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каждого метода подбирался наибольший шаг, при котором ошибка на интервале 8 с не превышает 0,001 (таблица 5).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5 – Шаг и число шагов для ошибки не больше 0,001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1474"/>
        <w:gridCol w:w="1247"/>
        <w:gridCol w:w="1134"/>
        <w:gridCol w:w="1247"/>
        <w:gridCol w:w="1474"/>
      </w:tblGrid>
      <w:tr>
        <w:trPr>
          <w:cantSplit/>
        </w:trPr>
        <w:tc>
          <w:tcPr>
            <w:tcW w:type="dxa" w:w="24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Схема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Шаг Эйлер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Шагов Эйлер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Шаг RK4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Шагов RK4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Выигрыш RK4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звено 1-го порядка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0,00390625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2048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16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128 раз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колебательное звено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0,000488281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16384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0,25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512 раз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keepNext w:val="0"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замкнутый контур с ПИД</w:t>
            </w:r>
          </w:p>
        </w:tc>
        <w:tc>
          <w:tcPr>
            <w:tcW w:type="dxa" w:w="1474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0,000244141</w:t>
            </w:r>
          </w:p>
        </w:tc>
        <w:tc>
          <w:tcPr>
            <w:tcW w:type="dxa" w:w="1247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32768</w:t>
            </w:r>
          </w:p>
        </w:tc>
        <w:tc>
          <w:tcPr>
            <w:tcW w:type="dxa" w:w="1134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0,125</w:t>
            </w:r>
          </w:p>
        </w:tc>
        <w:tc>
          <w:tcPr>
            <w:tcW w:type="dxa" w:w="1247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64</w:t>
            </w:r>
          </w:p>
        </w:tc>
        <w:tc>
          <w:tcPr>
            <w:tcW w:type="dxa" w:w="1474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512 раз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Методу Эйлера нужно в 128–512 раз больше шагов, чем RK4. Даже с учётом того, что шаг RK4 в четыре раза дороже, RK4 выигрывает в десятки раз.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2.6. Эксперимент 3: устойчивость метода Эйлера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У численного метода есть ещё одно свойство — устойчивость: при слишком большом шаге расчёт может «взорваться», хотя сама система устойчива. Для звена </w:t>
      </w:r>
      <m:oMath xmlns:a="http://schemas.openxmlformats.org/drawingml/2006/main" xmlns:pic="http://schemas.openxmlformats.org/drawingml/2006/picture"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T</m:t>
            </m:r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+</m:t>
            </m:r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den>
        </m:f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один шаг метода Эйлера умножает отклонение от установившегося значения на </w:t>
      </w:r>
      <m:oMath xmlns:a="http://schemas.openxmlformats.org/drawingml/2006/main" xmlns:pic="http://schemas.openxmlformats.org/drawingml/2006/picture"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−</m:t>
            </m:r>
            <m:r>
              <w:rPr>
                <w:rFonts w:ascii="Cambria Math" w:hAnsi="Cambria Math" w:cs="Cambria Math"/>
                <w:sz w:val="28"/>
                <w:szCs w:val="28"/>
              </w:rPr>
              <m:t>h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/</m:t>
            </m:r>
            <m:r>
              <w:rPr>
                <w:rFonts w:ascii="Cambria Math" w:hAnsi="Cambria Math" w:cs="Cambria Math"/>
                <w:sz w:val="28"/>
                <w:szCs w:val="28"/>
              </w:rPr>
              <m:t>T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. Если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h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&gt;</m:t>
        </m:r>
        <m:r>
          <w:rPr>
            <w:rFonts w:ascii="Cambria Math" w:hAnsi="Cambria Math" w:cs="Cambria Math"/>
            <w:sz w:val="28"/>
            <w:szCs w:val="28"/>
          </w:rPr>
          <m:t>2</m:t>
        </m:r>
        <m:r>
          <w:rPr>
            <w:rFonts w:ascii="Cambria Math" w:hAnsi="Cambria Math" w:cs="Cambria Math"/>
            <w:sz w:val="28"/>
            <w:szCs w:val="28"/>
          </w:rPr>
          <m:t>T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, модуль этого множителя больше единицы и ошибка растёт с каждым шагом (таблица 6, рисунок 6).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6 – Звено 1-го порядка (T = 1 с): отклонение при t = 30 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"/>
        <w:gridCol w:w="1701"/>
        <w:gridCol w:w="1474"/>
        <w:gridCol w:w="1701"/>
        <w:gridCol w:w="1474"/>
        <w:gridCol w:w="1701"/>
      </w:tblGrid>
      <w:tr>
        <w:trPr>
          <w:cantSplit/>
        </w:trPr>
        <w:tc>
          <w:tcPr>
            <w:tcW w:type="dxa" w:w="10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h / T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Множитель за шаг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Эйлер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Итог Эйлер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RK4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Итог RK4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сходится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9,6·10⁻¹⁴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сходится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1,0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сходится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1,7·10⁻¹³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сходится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1,5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9,5·10⁻⁷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сходится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5,5·10⁻¹²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сходится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1,9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0,9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1,9·10⁻¹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сходится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5,6·10⁻⁹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сходится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2,1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1,1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3,8·10⁰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расходится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9,7·10⁻⁷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сходится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keepNext w:val="0"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2,5</w:t>
            </w:r>
          </w:p>
        </w:tc>
        <w:tc>
          <w:tcPr>
            <w:tcW w:type="dxa" w:w="1701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1,5</w:t>
            </w:r>
          </w:p>
        </w:tc>
        <w:tc>
          <w:tcPr>
            <w:tcW w:type="dxa" w:w="1474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1,3·10²</w:t>
            </w:r>
          </w:p>
        </w:tc>
        <w:tc>
          <w:tcPr>
            <w:tcW w:type="dxa" w:w="1701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расходится</w:t>
            </w:r>
          </w:p>
        </w:tc>
        <w:tc>
          <w:tcPr>
            <w:tcW w:type="dxa" w:w="1474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5,5·10⁻³</w:t>
            </w:r>
          </w:p>
        </w:tc>
        <w:tc>
          <w:tcPr>
            <w:tcW w:type="dxa" w:w="1701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сходится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euler_stabil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6 – Метод Эйлера при разных шагах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Метод RK4 устойчив при заметно больших шагах, но и у него есть граница. Поэтому, если пользователь выбрал RK4 с постоянным шагом, система до расчёта проверяет шаг по полюсам модели (листинг 4 приложения А). Если численное решение будет неустойчивым, расчёт не запускается, а пользователь получает сообщение с допустимым шагом. Это тоже возможно только благодаря единой модели: полюса известны заранее.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2.7. Эксперимент 4: время расчёта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Время расчёта контура с ПИД-регулятором на интервале 10 с приведено в таблице 7.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7 – Время расчёта (контур с ПИД, 10 с, h = 0,01)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2268"/>
        <w:gridCol w:w="1984"/>
        <w:gridCol w:w="1984"/>
      </w:tblGrid>
      <w:tr>
        <w:trPr>
          <w:cantSplit/>
        </w:trPr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Метод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Вычислений на шаг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Время, мс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Ошибка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Эйлер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1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10,13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3,7·10⁻²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RK4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4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27,68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2,3·10⁻⁸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 w:val="0"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RK45</w:t>
            </w:r>
          </w:p>
        </w:tc>
        <w:tc>
          <w:tcPr>
            <w:tcW w:type="dxa" w:w="2268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переменно</w:t>
            </w:r>
          </w:p>
        </w:tc>
        <w:tc>
          <w:tcPr>
            <w:tcW w:type="dxa" w:w="1984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31,78</w:t>
            </w:r>
          </w:p>
        </w:tc>
        <w:tc>
          <w:tcPr>
            <w:tcW w:type="dxa" w:w="1984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7,4·10⁻⁹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Все методы рассчитывают учебную схему за десятки миллисекунд, то есть пользователь получает результат практически сразу. При этом ошибка RK4 и RK45 в миллионы раз меньше, чем у метода Эйлера. Поэтому в системе по умолчанию используется RK45, RK4 доступен для расчёта с постоянным шагом, а метод Эйлера оставлен только в исследовательских сценариях для сравнения.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2.8. Виды анализа в системе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Единая модель позволяет получить основные характеристики САУ (таблица 8). Все они вычисляются по одним и тем же матрицам, поэтому согласованы между собой.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8 – Виды анализа и как они получаются из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5953"/>
      </w:tblGrid>
      <w:tr>
        <w:trPr>
          <w:cantSplit/>
        </w:trPr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Вид анализа</w:t>
            </w:r>
          </w:p>
        </w:tc>
        <w:tc>
          <w:tcPr>
            <w:tcW w:type="dxa" w:w="5953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Как получается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Переходный процесс</w:t>
            </w:r>
          </w:p>
        </w:tc>
        <w:tc>
          <w:tcPr>
            <w:tcW w:type="dxa" w:w="5953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численное решение уравнений модели (разделы 2.3–2.7)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Показатели качества: перерегулирование, время регулирования</w:t>
            </w:r>
          </w:p>
        </w:tc>
        <w:tc>
          <w:tcPr>
            <w:tcW w:type="dxa" w:w="5953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 xml:space="preserve">по переходному процессу и установившемуся значению </w:t>
            </w:r>
            <m:oMath xmlns:a="http://schemas.openxmlformats.org/drawingml/2006/main" xmlns:pic="http://schemas.openxmlformats.org/drawingml/2006/picture"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sz w:val="24"/>
                      <w:szCs w:val="24"/>
                    </w:rPr>
                    <m:t>−</m:t>
                  </m:r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C</m:t>
                  </m:r>
                  <m:sSup>
                    <m:e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−</m:t>
                      </m:r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1</m:t>
                      </m:r>
                    </m:sup>
                  </m:sSup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B</m:t>
                  </m:r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 </m:t>
              </m:r>
              <m:r>
                <w:rPr>
                  <w:rFonts w:ascii="Cambria Math" w:hAnsi="Cambria Math" w:cs="Cambria Math"/>
                  <w:sz w:val="24"/>
                  <w:szCs w:val="24"/>
                </w:rPr>
                <m:t>r</m:t>
              </m:r>
            </m:oMath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Полюса и устойчивость</w:t>
            </w:r>
          </w:p>
        </w:tc>
        <w:tc>
          <w:tcPr>
            <w:tcW w:type="dxa" w:w="5953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 xml:space="preserve">собственные числа матрицы </w:t>
            </w:r>
            <m:oMath xmlns:a="http://schemas.openxmlformats.org/drawingml/2006/main" xmlns:pic="http://schemas.openxmlformats.org/drawingml/2006/picture">
              <m:r>
                <w:rPr>
                  <w:rFonts w:ascii="Cambria Math" w:hAnsi="Cambria Math" w:cs="Cambria Math"/>
                  <w:sz w:val="24"/>
                  <w:szCs w:val="24"/>
                </w:rPr>
                <m:t>A</m:t>
              </m:r>
            </m:oMath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Частотные характеристики</w:t>
            </w:r>
          </w:p>
        </w:tc>
        <w:tc>
          <w:tcPr>
            <w:tcW w:type="dxa" w:w="5953"/>
          </w:tcPr>
          <w:p>
            <w:pPr>
              <w:keepNext/>
              <w:spacing w:line="240" w:lineRule="auto"/>
              <w:ind w:firstLine="0"/>
              <w:jc w:val="center"/>
            </w:pPr>
            <w:r/>
            <m:oMath xmlns:a="http://schemas.openxmlformats.org/drawingml/2006/main" xmlns:pic="http://schemas.openxmlformats.org/drawingml/2006/picture">
              <m:r>
                <w:rPr>
                  <w:rFonts w:ascii="Cambria Math" w:hAnsi="Cambria Math" w:cs="Cambria Math"/>
                  <w:sz w:val="24"/>
                  <w:szCs w:val="24"/>
                </w:rP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j</m:t>
                  </m:r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ω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Cambria Math"/>
                  <w:sz w:val="24"/>
                  <w:szCs w:val="24"/>
                </w:rPr>
                <m:t>=</m:t>
              </m:r>
              <m:r>
                <w:rPr>
                  <w:rFonts w:ascii="Cambria Math" w:hAnsi="Cambria Math" w:cs="Cambria Math"/>
                  <w:sz w:val="24"/>
                  <w:szCs w:val="24"/>
                </w:rPr>
                <m:t>C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j</m:t>
                      </m:r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ω</m:t>
                      </m:r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−</m:t>
                      </m:r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A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Cambria Math"/>
                      <w:sz w:val="24"/>
                      <w:szCs w:val="24"/>
                    </w:rPr>
                    <m:t>−</m:t>
                  </m:r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1</m:t>
                  </m:r>
                </m:sup>
              </m:sSup>
              <m:r>
                <w:rPr>
                  <w:rFonts w:ascii="Cambria Math" w:hAnsi="Cambria Math" w:cs="Cambria Math"/>
                  <w:sz w:val="24"/>
                  <w:szCs w:val="24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24"/>
                  <w:szCs w:val="24"/>
                </w:rPr>
                <m:t>+</m:t>
              </m:r>
              <m:r>
                <w:rPr>
                  <w:rFonts w:ascii="Cambria Math" w:hAnsi="Cambria Math" w:cs="Cambria Math"/>
                  <w:sz w:val="24"/>
                  <w:szCs w:val="24"/>
                </w:rPr>
                <m:t>D</m:t>
              </m:r>
            </m:oMath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 w:val="0"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Модель системы</w:t>
            </w:r>
          </w:p>
        </w:tc>
        <w:tc>
          <w:tcPr>
            <w:tcW w:type="dxa" w:w="5953"/>
          </w:tcPr>
          <w:p>
            <w:pPr>
              <w:keepNext w:val="0"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 xml:space="preserve">матрицы </w:t>
            </w:r>
            <m:oMath xmlns:a="http://schemas.openxmlformats.org/drawingml/2006/main" xmlns:pic="http://schemas.openxmlformats.org/drawingml/2006/picture">
              <m:r>
                <w:rPr>
                  <w:rFonts w:ascii="Cambria Math" w:hAnsi="Cambria Math" w:cs="Cambria Math"/>
                  <w:sz w:val="24"/>
                  <w:szCs w:val="24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 w:cs="Cambria Math"/>
                  <w:sz w:val="24"/>
                  <w:szCs w:val="24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 w:cs="Cambria Math"/>
                  <w:sz w:val="24"/>
                  <w:szCs w:val="24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 w:cs="Cambria Math"/>
                  <w:sz w:val="24"/>
                  <w:szCs w:val="24"/>
                </w:rPr>
                <m:t>D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 xml:space="preserve"> и то, какому блоку принадлежит каждая переменная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 Обобщение полученных результатов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3.1. Научные и практические результаты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ходе НИР получены следующие результаты.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Проанализированы пять средств моделирования САУ; показано, что ни одно не сочетает работу в браузере, бесплатность и открытость, и сформулированы требования к веб-системе.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Обоснована архитектура: редактор и графики в браузере, расчёты на сервере на Python с NumPy и SciPy, одно вычислительное ядро для интерфейса и для исследований.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Обоснован подход единой модели в пространстве состояний: на 16 схемах с известным ответом он дал верный результат во всех случаях, а поблочный расчёт не справился с 2.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Экспериментально подтверждены порядки точности методов Эйлера (1) и RK4 (4); методу Эйлера для той же точности нужно в 128–512 раз больше шагов.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– Показано, что метод Эйлера теряет устойчивость при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h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&gt;</m:t>
        </m:r>
        <m:r>
          <w:rPr>
            <w:rFonts w:ascii="Cambria Math" w:hAnsi="Cambria Math" w:cs="Cambria Math"/>
            <w:sz w:val="28"/>
            <w:szCs w:val="28"/>
          </w:rPr>
          <m:t>2</m:t>
        </m:r>
        <m:r>
          <w:rPr>
            <w:rFonts w:ascii="Cambria Math" w:hAnsi="Cambria Math" w:cs="Cambria Math"/>
            <w:sz w:val="28"/>
            <w:szCs w:val="28"/>
          </w:rPr>
          <m:t>T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, и обоснована проверка шага по полюсам модели до расчёта.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Практический результат — архитектура и вычислительное ядро веб-системы визуального моделирования, на которых строится выпускная квалификационная работа.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3.2. Ограничения и направления дальнейшей работы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система рассчитана на линейные звенья; для нелинейных элементов (насыщение, реле) потребуется сочетать единую модель с поблочным расчётом нелинейной части;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входные воздействия пока только ступенчатые;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алгоритм построения единой модели по схеме разрабатывается в курсовом проекте.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результате НИР исследованы подходы к построению веб-системы моделирования систем автоматического управления.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Обзор существующих средств показал, что для учебного процесса нужна среда, которая работает в браузере, бесплатна и показывает полученную модель. Для неё выбрана клиент-серверная архитектура с расчётами на сервере, что обеспечивает точность, проверяемость и возможность повторять расчёты из консоли.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Сравнение подходов к получению модели показало преимущество единой модели в пространстве состояний: она рассчитывает все тестовые схемы, включая недоступные поблочному расчёту, и сразу даёт полюса, передаточные функции и частотные характеристики.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Эксперименты с численными методами подтвердили теоретические порядки точности и показали, что методы Рунге–Кутты в сотни раз экономнее метода Эйлера при той же точности; для метода Эйлера найдена граница устойчивости по шагу.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Результаты использованы при разработке веб-системы визуального моделирования — выпускной квалификационной работы.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использованных источников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Финошин А.В., Корнюшин Ю.П., Краснощеченко В.И. Научно-исследовательская работа: практикум. – Калуга: КФ МГТУ им. Н.Э. Баумана, 2024. – 17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Бесекерский В.А., Попов Е.П. Теория систем автоматического регулирования. – М.: Директмедиа, 2021. – 747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Ким Д.П. Теория автоматического управления. Т. 1. Линейные системы. – М.: Физматлит, 2016. – 312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Hairer E., Nørsett S.P., Wanner G. Solving Ordinary Differential Equations I: Nonstiff Problems. – Berlin; Heidelberg: Springer, 2008. – 528 p.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Simulink – Simulation and Model-Based Design [Электронный ресурс]. – URL: https://www.mathworks.com/products/simulink.html (дата обращения: 20.10.2026).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 Scilab: Xcos [Электронный ресурс]. – URL: https://www.scilab.org/software/xcos (дата обращения: 20.10.2026).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7. OpenModelica [Электронный ресурс]. – URL: https://openmodelica.org/ (дата обращения: 20.10.2026).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8. SimInTech – среда динамического моделирования технических систем [Электронный ресурс]. – URL: https://simintech.ru/ (дата обращения: 20.10.2026).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9. Engee – среда модельно-ориентированного проектирования [Электронный ресурс]. – URL: https://start.engee.com/ (дата обращения: 20.10.2026).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10. NumPy Documentation [Электронный ресурс]. – URL: https://numpy.org/doc/ (дата обращения: 20.10.2026).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11. SciPy API Reference [Электронный ресурс]. – URL: https://docs.scipy.org/doc/scipy/reference/ (дата обращения: 20.10.2026).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</w: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1 – Метод Эйлера (app/simulation/solvers.py)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euler_integrate(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rhs: Rhs,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x0: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t_grid: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*,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breakpoints: Sequence[float] = 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"""Explicit Euler on the given grid: x_{k+1} = x_k + h·f(t_k, x_k).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First-order reference method for the numerical study; it is not offered by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the API. The derivative is taken at the left end of each step, so a jump at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 breakpoint grid node takes effect from the step that starts there.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_validate_time_grid(t_grid)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del breakpoints  # the left-point rule never evaluates past the step start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x0.size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np.zeros((0, t_grid.size))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trajectory = np.zeros((x0.size, t_grid.size))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trajectory[:, 0] = x0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 = x0.astype(float).copy()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index in range(t_grid.size - 1):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left, right = float(t_grid[index]), float(t_grid[index + 1])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with np.errstate(over="ignore", invalid="ignore"):  # divergence is reported below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x = x + (right - left) * rhs(left, 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not np.all(np.isfinite(x)):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SolverError(f"Эйлер: состояние перестало быть конечным в момент t={right:g}.")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trajectory[:, index + 1] = x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trajectory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2 – Метод Рунге–Кутты 4-го порядка (app/simulation/solvers.py)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rk4_integrate(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rhs: Rhs,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x0: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t_grid: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*,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breakpoints: Sequence[float] = 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"""Classical RK4 on the given grid; every breakpoint must be a grid node.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At a step that ends exactly on a breakpoint the last stage is evaluated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just before it (left limit of the input), so the jump is applied only at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the start of the next step.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_validate_time_grid(t_grid)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x0.size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np.zeros((0, t_grid.size))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ends_on_jump = np.isin(t_grid[1:], np.asarray(breakpoints, dtype=float))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trajectory = np.zeros((x0.size, t_grid.size))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trajectory[:, 0] = x0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 = x0.astype(float).copy()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index in range(t_grid.size - 1):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left, right = float(t_grid[index]), float(t_grid[index + 1])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h = right - left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k4_time = float(np.nextafter(right, left)) if ends_on_jump[index] else right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k1 = rhs(left, 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k2 = rhs(left + 0.5 * h, x + 0.5 * h * k1)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k3 = rhs(left + 0.5 * h, x + 0.5 * h * k2)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k4 = rhs(k4_time, x + h * k3)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x = x + (h / 6.0) * (k1 + 2.0 * k2 + 2.0 * k3 + k4)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not np.all(np.isfinite(x)):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SolverError(f"RK4: состояние перестало быть конечным в момент t={right:g}.")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trajectory[:, index + 1] = x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trajectory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3 – Точное решение через матричную экспоненту (app/simulation/solvers.py)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exact_lti_integrate(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source_values: Callable[[float], np.ndarray],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x0: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t_grid: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"""Exact solution of x' = A x + B r for r constant on every grid interval.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x(t + h) = e^{Ah} x(t) + G(h) B r,  G(h) = integral_0^h e^{A s} ds,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both taken from the matrix exponential of [[A, I], [0, 0]] h. The grid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must contain every input jump. Used as the reference for RK4 and RK45.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_validate_time_grid(t_grid)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 = x0.size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n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np.zeros((0, t_grid.size))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augmented = np.zeros((2 * n, 2 * n))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augmented[:n, :n] = a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augmented[:n, n:] = np.eye(n)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cache: dict[float, tuple[np.ndarray, np.ndarray]]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trajectory = np.zeros((n, t_grid.size))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trajectory[:, 0] = x0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 = x0.astype(float).copy()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index in range(t_grid.size - 1):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h = float(t_grid[index + 1] - t_grid[index])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# Steps of a uniform grid differ only by rounding; 13 significant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# digits keep one propagator per nominal step.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key = float(f"{h:.12e}")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key not in cache: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exponential = expm(augmented * key)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cache[key] = (exponential[:n, :n], exponential[:n, n:])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phi, gamma = cache[key]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x = phi @ x + gamma @ (b @ source_values(float(t_grid[index])))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trajectory[:, index + 1] = x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trajectory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4 – Проверка шага RK4 по полюсам модели (app/analysis/stability.py)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rk4_step_check(a: np.ndarray, step: float) -&gt; dict[str, Any]: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"""Compare the RK4 amplification with the exact one, e^(h lambda), per mode.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 mode that is stable or marginal physically (Re lambda &lt;= tol) must not be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amplified by the method: |R(h lambda)| &gt; 1 is numerical instability and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the step is rejected. For a physically growing mode the growth is real;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only a large relative error of the per-step factor is reported.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a.size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{"stable": True, "unstable_modes": [], "max_step": None, "inaccurate_growing_modes": []}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poles = np.linalg.eigvals(a)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unstable: list[complex]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limits: list[float]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inaccurate: list[complex]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pole in poles: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z = step * pole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amplification = abs(rk4_amplification(z))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# Relative to |lambda|: a fast block elsewhere must not turn a slowly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# growing mode into an "axis" mode.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pole.real &lt;= AXIS_RTOL * abs(pole):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if amplification &gt; 1.0 + 1e-12: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unstable.append(complex(pole))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limits.append(_rk4_step_limit(complex(pole), step))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else: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exact = abs(np.exp(z))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if abs(amplification - exact) &gt; 0.01 * exact: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inaccurate.append(complex(pole))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{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"stable": not unstable,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"unstable_modes": unstable,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"max_step": min(limits) if limits else None,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"inaccurate_growing_modes": inaccurate,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}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5 – Эксперимент «шаг для заданной точности» (scripts/nir_solver_study.py)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step_for_tolerance(tolerance: float = 1e-3) -&gt; list[dict]: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"""Наибольший шаг из ряда h = 0.5 / 2^k, при котором ошибка не превышает tolerance."""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rows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case, diagram in CASES.items():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model = model_of(diagram)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row: dict = {"схема": case}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for name in ("Эйлер", "RK4"):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dt = 0.5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while dt &gt; 1e-5: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grid = grid_of(8.0, dt)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try: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error = float(np.max(np.abs(simulate(model, METHODS[name], grid) - exact(model, grid))))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except SolverError: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error = np.inf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if error &lt;= tolerance: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break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dt /= 2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row[f"шаг {name}"] = f"{dt:g}"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row[f"шагов {name}"] = int(round(8.0 / dt))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row["выигрыш RK4, раз"] = f"{row['шагов Эйлер'] / row['шагов RK4']:.0f}"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rows.append(row)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rows</w:t>
      </w:r>
    </w:p>
    <w:p>
      <w:pPr>
        <w:keepNext w:val="0"/>
        <w:spacing w:line="240" w:lineRule="auto" w:before="0" w:after="0"/>
        <w:ind w:firstLine="709"/>
        <w:jc w:val="both"/>
      </w:pPr>
    </w:p>
    <w:sectPr w:rsidR="00FC693F" w:rsidRPr="0006063C" w:rsidSect="00034616">
      <w:footerReference w:type="default" r:id="rId10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NIR_report</dc:title>
  <dc:subject/>
  <dc:creator>Исаев А.А.</dc:creator>
  <cp:keywords/>
  <dc:description/>
  <cp:lastModifiedBy>Исаев А.А.</cp:lastModifiedBy>
  <cp:revision>1</cp:revision>
  <dcterms:created xsi:type="dcterms:W3CDTF">2013-12-23T23:15:00Z</dcterms:created>
  <dcterms:modified xsi:type="dcterms:W3CDTF">2013-12-23T23:15:00Z</dcterms:modified>
  <cp:category/>
</cp:coreProperties>
</file>