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814"/>
        <w:gridCol w:w="7541"/>
      </w:tblGrid>
      <w:tr>
        <w:tc>
          <w:tcPr>
            <w:tcW w:type="dxa" w:w="1814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075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r-0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075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Калужский филиал федерального государственного автономного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образовательного учреждения высшего образования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«Московский государственный технический университет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имени Н.Э. Баумана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(национальный исследовательский университет)»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(КФ МГТУ им. Н.Э. Баумана)</w:t>
            </w:r>
          </w:p>
        </w:tc>
      </w:tr>
    </w:tbl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360" w:lineRule="auto" w:before="24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ФАКУЛЬТЕТ ИУК Информатика и управление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КАФЕДРА ИУК3 Системы автоматического управления</w:t>
      </w:r>
    </w:p>
    <w:p>
      <w:pPr>
        <w:keepNext w:val="0"/>
        <w:spacing w:line="240" w:lineRule="auto" w:before="4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ОТЧЕТ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по НАУЧНО-ИССЛЕДОВАТЕЛЬСКОЙ РАБОТЕ</w:t>
      </w:r>
    </w:p>
    <w:p>
      <w:pPr>
        <w:keepNext w:val="0"/>
        <w:spacing w:line="36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 ТЕМУ:</w:t>
      </w:r>
    </w:p>
    <w:p>
      <w:pPr>
        <w:keepNext w:val="0"/>
        <w:spacing w:line="276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Исследование подходов к построению веб-системы моделирования САУ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969"/>
        <w:gridCol w:w="1417"/>
        <w:gridCol w:w="1417"/>
        <w:gridCol w:w="2551"/>
      </w:tblGrid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 группы ИУК3-71Б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Исаев А.А.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 НИР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Макаренков А.М.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Оценка руководителя НИР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Баллов, 30-50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(Дата)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Оценка за защиту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Баллов, 30-50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(Дата)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Итоговая оценка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 пятибалльной шкале)</w:t>
            </w:r>
          </w:p>
        </w:tc>
      </w:tr>
    </w:tbl>
    <w:p>
      <w:pPr>
        <w:keepNext w:val="0"/>
        <w:spacing w:line="288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Комиссия: ____________  ______________________</w:t>
      </w:r>
    </w:p>
    <w:p>
      <w:pPr>
        <w:keepNext w:val="0"/>
        <w:spacing w:line="288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____________  ______________________</w:t>
      </w:r>
    </w:p>
    <w:p>
      <w:pPr>
        <w:keepNext w:val="0"/>
        <w:spacing w:line="288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____________  ______________________</w:t>
      </w:r>
    </w:p>
    <w:p>
      <w:pPr>
        <w:keepNext w:val="0"/>
        <w:spacing w:line="360" w:lineRule="auto" w:before="36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Калуга, 2026</w:t>
      </w:r>
    </w:p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УТВЕРЖДАЮ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Заведующий кафедрой ИУК3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 (Д.В. Мельников)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«___» __________ 2026 г.</w:t>
      </w:r>
    </w:p>
    <w:p>
      <w:pPr>
        <w:keepNext w:val="0"/>
        <w:spacing w:line="36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З А Д А Н И Е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научно-исследовательскую работу</w:t>
      </w:r>
    </w:p>
    <w:p>
      <w:pPr>
        <w:keepNext w:val="0"/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тему:</w:t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Исследование подходов к построению веб-системы моделирования САУ</w:t>
      </w:r>
    </w:p>
    <w:p>
      <w:pPr>
        <w:keepNext w:val="0"/>
        <w:spacing w:line="360" w:lineRule="auto" w:before="0" w:after="8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Задание: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Проанализировать существующие средства моделирования систем автоматического управления и сформулировать требования к веб-системе моделирования.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Исследовать варианты архитектуры веб-системы и выбрать, где и как выполнять расчёты.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Сравнить подходы к получению математической модели по структурной схеме и обосновать выбор.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Экспериментально сравнить численные методы решения уравнений модели: точность, устойчивость, затраты времени.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Определить состав видов анализа системы и обобщить результаты исследования.</w:t>
      </w:r>
    </w:p>
    <w:p>
      <w:pPr>
        <w:keepNext w:val="0"/>
        <w:spacing w:line="360" w:lineRule="auto" w:before="36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Дата выдачи задания «___» __________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118"/>
        <w:gridCol w:w="3402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Макаренков А.М.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Исаев А.А.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pPr>
        <w:sectPr>
          <w:footerReference w:type="default" r:id="rId11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 w:val="0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Содержание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Перечень сокращений и обозначений</w:t>
        <w:tab/>
        <w:t>4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  <w:tab/>
        <w:t>5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 Сбор и анализ материала, анализ литературы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1.1. Актуальность темы исследования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1.2. Обзор существующих средств моделирования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1.3. Требования к разрабатываемой системе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1.4. Объект, предмет, цель и задачи исследования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 Проведение научного исследования, расчётов</w:t>
        <w:tab/>
        <w:t>10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2.1. Где выполнять расчёты: выбор архитектуры</w:t>
        <w:tab/>
        <w:t>10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2.2. Подходы к получению модели по схеме</w:t>
        <w:tab/>
        <w:t>11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2.3. Численные методы решения уравнений модели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2.4. Эксперимент 1: точность в зависимости от шага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2.5. Эксперимент 2: число шагов для заданной точности</w:t>
        <w:tab/>
        <w:t>15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2.6. Эксперимент 3: устойчивость метода Эйлера</w:t>
        <w:tab/>
        <w:t>15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2.7. Эксперимент 4: время расчёта</w:t>
        <w:tab/>
        <w:t>16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2.8. Виды анализа в системе</w:t>
        <w:tab/>
        <w:t>17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 Обобщение полученных результатов</w:t>
        <w:tab/>
        <w:t>18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 Научные и практические результаты</w:t>
        <w:tab/>
        <w:t>18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3.2. Ограничения и направления дальнейшей работы</w:t>
        <w:tab/>
        <w:t>18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  <w:tab/>
        <w:t>19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использованных источников</w:t>
        <w:tab/>
        <w:t>20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  <w:tab/>
        <w:t>21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Перечень сокращений и обозначений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САУ – система автоматического управления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ПФ – передаточная функция</w:t>
      </w:r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C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D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матрицы модели </w:t>
      </w:r>
      <m:oMath xmlns:a="http://schemas.openxmlformats.org/drawingml/2006/main" xmlns:pic="http://schemas.openxmlformats.org/drawingml/2006/picture">
        <m:acc>
          <m:accPr>
            <m:chr m:val="̇"/>
          </m:accPr>
          <m:e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A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B</m:t>
        </m:r>
        <m:r>
          <w:rPr>
            <w:rFonts w:ascii="Cambria Math" w:hAnsi="Cambria Math" w:cs="Cambria Math"/>
            <w:sz w:val="28"/>
            <w:szCs w:val="28"/>
          </w:rPr>
          <m:t>u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C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D</m:t>
        </m:r>
        <m:r>
          <w:rPr>
            <w:rFonts w:ascii="Cambria Math" w:hAnsi="Cambria Math" w:cs="Cambria Math"/>
            <w:sz w:val="28"/>
            <w:szCs w:val="28"/>
          </w:rPr>
          <m:t>u</m:t>
        </m:r>
      </m:oMath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RK4 – метод Рунге–Кутты 4-го порядка с постоянным шагом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RK45 – метод Дорманда–Принса с автоматическим выбором шага</w:t>
      </w:r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шаг интегрирования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API – программный интерфейс сервера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JSON – текстовый формат обмена данными между браузером и сервером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Научно-исследовательская работа выполнялась по направлению подготовки 27.03.04 «Управление в технических системах». Она является исследовательской частью выпускной квалификационной работы «Веб-ориентированная система визуального моделирования систем автоматического управления».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изучения и проектирования систем автоматического управления (САУ) инженеры и студенты используют программы блочного моделирования. В них схема системы собирается из блоков-звеньев, а программа рассчитывает, как система ведёт себя во времени, устойчива ли она и какие у неё частотные характеристики. Самая известная такая программа, MATLAB/Simulink, для российских вузов стала труднодоступна, а другие программы требуют установки на каждый компьютер и не всегда показывают, как получен результат.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Поэтому разрабатывается веб-система моделирования: она открывается в обычном браузере и не требует установки. Прежде чем её строить, нужно ответить на несколько вопросов. Какие возможности есть у существующих программ и что из них нужно? Где выполнять расчёты — в браузере или на сервере? Как превращать нарисованную схему в уравнения? Каким численным методом решать эти уравнения? Этим вопросам и посвящена работа.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Цель работы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исследовать и обосновать подходы к построению веб-системы моделирования САУ: архитектуру, способ получения модели по схеме и численные методы.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этого решались задачи: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проанализировать существующие средства моделирования и сформулировать требования к системе;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сравнить варианты архитектуры и выбрать, где выполнять расчёты;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сравнить подходы к получению модели по структурной схеме;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экспериментально сравнить численные методы решения уравнений модели;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определить состав видов анализа и обобщить результаты.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 Сбор и анализ материала, анализ литературы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1.1. Актуальность темы исследования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Структурная схема — основной язык теории автоматического управления [2, 3]. Человеку удобно рассуждать звеньями и связями, а компьютеру — решать систему уравнений. Программа блочного моделирования соединяет одно с другим: пользователь рисует схему, программа считает.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 2022 г. компания MathWorks, разработчик MATLAB/Simulink, прекратила работу в России, и получить новые лицензии для вузов стало практически невозможно. Отечественные и свободные программы есть, но большинство из них нужно устанавливать на компьютер, а коммерческие требуют лицензий. Для учебного процесса полезна среда, которая работает в браузере, бесплатна и показывает, какие уравнения она составила по схеме. Поэтому исследование подходов к построению такой среды актуально.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1.2. Обзор существующих средств моделирования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Рассмотрены пять наиболее известных средств блочного моделирования (таблица 1). Сведения взяты с сайтов разработчиков и из документации [5–9].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– Средства моделирования САУ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608"/>
        <w:gridCol w:w="2154"/>
        <w:gridCol w:w="2551"/>
      </w:tblGrid>
      <w:tr>
        <w:trPr>
          <w:cantSplit/>
        </w:trPr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Средство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Как устроено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Доступ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Недостатки для учебных задач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MATLAB / Simulink (MathWorks, США)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Блочные схемы, поблочный расчёт; общую модель схемы даёт отдельный пакет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Коммерческая лицензия, установка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 2022 г. новые лицензии в РФ недоступны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Scilab / Xcos (Франция)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Блочные схемы гибридных систем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Бесплатно, открытый код, установка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Устаревший интерфейс, модель схемы пользователю не показывается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OpenModelica (консорциум OSMC)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Модели в виде уравнений на языке Modelica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Бесплатно, открытый код, установка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Сложна для начинающих: нужно изучать язык Modelica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SimInTech (Россия)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Блочные схемы, расчёт в реальном времени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Коммерческая лицензия, установка под Windows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Закрытый код, без лицензии возможности ограничены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Engee (Россия)</w:t>
            </w:r>
          </w:p>
        </w:tc>
        <w:tc>
          <w:tcPr>
            <w:tcW w:type="dxa" w:w="2608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Блочные схемы и вычислительная среда</w:t>
            </w:r>
          </w:p>
        </w:tc>
        <w:tc>
          <w:tcPr>
            <w:tcW w:type="dxa" w:w="215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Через сайт, есть бесплатный режим</w:t>
            </w:r>
          </w:p>
        </w:tc>
        <w:tc>
          <w:tcPr>
            <w:tcW w:type="dxa" w:w="255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Закрытый код, требует регистрации и постоянного подключения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Из обзора видно, что ни одно средство не сочетает сразу три свойства, важные для учебного процесса: работу в браузере без установки, бесплатность и открытость — возможность увидеть, какие уравнения программа составила по схеме и как она их решает.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1.3. Требования к разрабатываемой системе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результатам обзора сформулированы требования к веб-системе: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работа в браузере, без установки программ на компьютер пользователя;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редактор структурных схем с типовыми звеньями и подсистемами (блоками, внутри которых своя схема);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расчёт переходных процессов с выбором численного метода;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анализ устойчивости и частотных характеристик;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показ полученной модели системы и объяснение, почему схему нельзя рассчитать, если это так;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сохранение проектов и возможность повторить любой расчёт из консоли для исследований.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1.4. Объект, предмет, цель и задачи исследования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Объект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веб-система визуального моделирования линейных непрерывных САУ.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Предмет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подходы к её построению: архитектура, способ получения математической модели по схеме и численные методы решения уравнений модели.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 и задачи исследования сформулированы во введении.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 Проведение научного исследования, расчётов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2.1. Где выполнять расчёты: выбор архитектуры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Веб-система состоит из двух частей: того, что работает в браузере пользователя (клиент), и того, что работает на сервере. Редактор схем и графики, очевидно, должны быть в браузере. Главный вопрос — где выполнять расчёты. Два варианта сравниваются в таблице 2.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– Варианты размещения расчётов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3175"/>
        <w:gridCol w:w="3572"/>
      </w:tblGrid>
      <w:tr>
        <w:trPr>
          <w:cantSplit/>
        </w:trPr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Критерий</w:t>
            </w:r>
          </w:p>
        </w:tc>
        <w:tc>
          <w:tcPr>
            <w:tcW w:type="dxa" w:w="317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Расчёт в браузере (JavaScript)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Расчёт на сервере (Python)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Библиотеки линейной алгебры и решатели</w:t>
            </w:r>
          </w:p>
        </w:tc>
        <w:tc>
          <w:tcPr>
            <w:tcW w:type="dxa" w:w="317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Немногочисленны, менее проверены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NumPy и SciPy — стандарт научных расчётов [10, 11]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Нагрузка на компьютер пользователя</w:t>
            </w:r>
          </w:p>
        </w:tc>
        <w:tc>
          <w:tcPr>
            <w:tcW w:type="dxa" w:w="317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Вся на нём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Минимальная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Работа без сети</w:t>
            </w:r>
          </w:p>
        </w:tc>
        <w:tc>
          <w:tcPr>
            <w:tcW w:type="dxa" w:w="317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Возможна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Нужен доступ к серверу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Повторение расчёта для исследования</w:t>
            </w:r>
          </w:p>
        </w:tc>
        <w:tc>
          <w:tcPr>
            <w:tcW w:type="dxa" w:w="317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Только через интерфейс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Те же функции вызываются из консольных сценариев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Проверка правильности</w:t>
            </w:r>
          </w:p>
        </w:tc>
        <w:tc>
          <w:tcPr>
            <w:tcW w:type="dxa" w:w="3175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Нужно дублировать расчёты</w:t>
            </w:r>
          </w:p>
        </w:tc>
        <w:tc>
          <w:tcPr>
            <w:tcW w:type="dxa" w:w="3572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Один вычислительный модуль для всего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Выбран расчёт на сервере. Главная причина — точность и проверяемость: библиотеки NumPy и SciPy много лет используются в научных расчётах, а одни и те же функции вызываются и из интерфейса, и из консольных сценариев, которыми получены все таблицы этого отчёта. Недостаток — нужен доступ к серверу — для учебного класса несущественен.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Получившаяся архитектура показана на рисунке 1. Браузер отправляет схему на сервер в формате JSON — это текстовая запись списка блоков и соединений. Сервер (FastAPI) передаёт её вычислительному ядру, а результат возвращает браузеру. Проекты пользователей хранятся в базе данных SQLite.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8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– Архитектура веб-системы моделирования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Так выглядит окно системы в браузере (рисунок 2).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– Окно системы: (1) библиотека блоков, (2) схема, (3) запуск расчёта, (4) вкладка с моделью системы, (5) размеры модели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2.2. Подходы к получению модели по схеме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Чтобы рассчитать схему, программа должна превратить её в уравнения. Рассматривались три подхода (рисунок 3 и таблица 3).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85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approach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85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– Поблочный расчёт и единая модель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– Подходы к получению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7"/>
        <w:gridCol w:w="3061"/>
        <w:gridCol w:w="2154"/>
        <w:gridCol w:w="2211"/>
      </w:tblGrid>
      <w:tr>
        <w:trPr>
          <w:cantSplit/>
        </w:trPr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Подход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Суть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Плюсы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Минусы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Поблочный расчёт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На каждом шаге времени блоки по очереди считают свои выходы и производные — так работает обычное моделирование в Simulink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Прост, подходит для нелинейных блоков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Нет общих уравнений системы; не считает петли, где сигнал проходит мгновенно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Уравнения на языке моделирования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Пользователь описывает систему уравнениями, программа упрощает их сама (OpenModelica)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Очень гибок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Избыточен для структурных схем САУ, сложен для студентов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Единая модель в пространстве состояний</w:t>
            </w:r>
          </w:p>
        </w:tc>
        <w:tc>
          <w:tcPr>
            <w:tcW w:type="dxa" w:w="306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 xml:space="preserve">Схема один раз превращается в матрицы </w:t>
            </w:r>
            <m:oMath xmlns:a="http://schemas.openxmlformats.org/drawingml/2006/main" xmlns:pic="http://schemas.openxmlformats.org/drawingml/2006/picture">
              <m:r>
                <w:rPr>
                  <w:rFonts w:ascii="Cambria Math" w:hAnsi="Cambria Math" w:cs="Cambria Math"/>
                  <w:sz w:val="22"/>
                  <w:szCs w:val="22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2"/>
                  <w:szCs w:val="22"/>
                </w:rPr>
                <m:t>,</m:t>
              </m:r>
              <m:r>
                <w:rPr>
                  <w:rFonts w:ascii="Cambria Math" w:hAnsi="Cambria Math" w:cs="Cambria Math"/>
                  <w:sz w:val="22"/>
                  <w:szCs w:val="22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2"/>
                  <w:szCs w:val="22"/>
                </w:rPr>
                <m:t>,</m:t>
              </m:r>
              <m:r>
                <w:rPr>
                  <w:rFonts w:ascii="Cambria Math" w:hAnsi="Cambria Math" w:cs="Cambria Math"/>
                  <w:sz w:val="22"/>
                  <w:szCs w:val="22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2"/>
                  <w:szCs w:val="22"/>
                </w:rPr>
                <m:t>,</m:t>
              </m:r>
              <m:r>
                <w:rPr>
                  <w:rFonts w:ascii="Cambria Math" w:hAnsi="Cambria Math" w:cs="Cambria Math"/>
                  <w:sz w:val="22"/>
                  <w:szCs w:val="22"/>
                </w:rPr>
                <m:t>D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 xml:space="preserve"> всей системы</w:t>
            </w:r>
          </w:p>
        </w:tc>
        <w:tc>
          <w:tcPr>
            <w:tcW w:type="dxa" w:w="215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Сразу даёт полюса, ПФ, частотные характеристики; модель можно показать</w:t>
            </w:r>
          </w:p>
        </w:tc>
        <w:tc>
          <w:tcPr>
            <w:tcW w:type="dxa" w:w="221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Только линейные звенья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Первая версия ядра системы использовала поблочный расчёт. На практике выяснилось, что он не справляется со схемами, в которых сигнал проходит по петле мгновенно (через усилители и звенья с прямой передачей), и не даёт матриц всей системы. Единая модель такие петли решает как систему линейных уравнений. Её правильность проверена в курсовом проекте сравнением с независимым расчётом в MATLAB/Octave на контуре с ПИ-регулятором, схеме с перекрёстными обратными связями и электрогидравлическом следящем приводе 8-го порядка: передаточные функции и переходные процессы совпали с точностью вычислений.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Кроме того, только единая модель даёт то, что нужно для анализа САУ: полюса системы — это собственные числа матрицы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A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передаточная функция —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C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s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−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A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sup>
        </m:sSup>
        <m:r>
          <w:rPr>
            <w:rFonts w:ascii="Cambria Math" w:hAnsi="Cambria Math" w:cs="Cambria Math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D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а точное решение для проверки численных методов (раздел 2.3) тоже получается из матриц. Ограничение — только линейные звенья — для курса теории линейных систем несущественно.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Поэтому выбран подход единой модели. Алгоритм построения матриц по схеме и его проверка подробно разработаны в курсовом проекте «Разработка подсистемы построения математической модели САУ в пространстве состояний по структурной схеме».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2.3. Численные методы решения уравнений модели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Модель </w:t>
      </w:r>
      <m:oMath xmlns:a="http://schemas.openxmlformats.org/drawingml/2006/main" xmlns:pic="http://schemas.openxmlformats.org/drawingml/2006/picture">
        <m:acc>
          <m:accPr>
            <m:chr m:val="̇"/>
          </m:accPr>
          <m:e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A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B</m:t>
        </m:r>
        <m:r>
          <w:rPr>
            <w:rFonts w:ascii="Cambria Math" w:hAnsi="Cambria Math" w:cs="Cambria Math"/>
            <w:sz w:val="28"/>
            <w:szCs w:val="28"/>
          </w:rPr>
          <m:t>r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это система дифференциальных уравнений. Решать её приходится численно: время делится на шаги длиной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и состояние пересчитывается от шага к шагу. Сравнивались три метода [4]: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метод Эйлера — на каждом шаге один раз вычисляет скорость изменения состояния и делает шаг по ней. Он самый простой, но неточный: скорость в начале шага считается постоянной на весь шаг;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метод Рунге–Кутты 4-го порядка (RK4) — вычисляет скорость четыре раза внутри шага и усредняет, поэтому намного точнее при том же шаге;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метод RK45 (Дорманда–Принса) — сам выбирает шаг так, чтобы ошибка не превышала заданную.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Эталоном служило точное решение. Для линейной модели его можно вычислить через матричную экспоненту — это ещё одно преимущество единой модели. Исследования выполнены сценарием: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cd backend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scripts/nir_solver_study.py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2.4. Эксперимент 1: точность в зависимости от шага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Порядок метода показывает, как быстро уменьшается ошибка при уменьшении шага. Он вычислялся как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b>
          <m:e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log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</m:sub>
        </m:sSub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ε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h</m:t>
                </m:r>
              </m:e>
            </m:d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ε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/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2</m:t>
                </m:r>
              </m:e>
            </m:d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где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ε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h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наибольшая ошибка при шаге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Результаты для контура с ПИД-регулятором приведены в таблице 4 и на рисунке 4.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– Ошибка методов на контуре с ПИД-регулятором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587"/>
        <w:gridCol w:w="1587"/>
        <w:gridCol w:w="1587"/>
        <w:gridCol w:w="1360"/>
        <w:gridCol w:w="1360"/>
      </w:tblGrid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h, с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Эйлер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RK45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 Эйлер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 RK4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1,2·10²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3,9·10⁻³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7,3·10⁻⁹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—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—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2,1·10⁰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2,4·10⁻⁴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7,3·10⁻⁹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5,83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4,04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0,05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2,8·10⁻¹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1,5·10⁻⁵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7,3·10⁻⁹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2,94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4,02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0,025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1,1·10⁻¹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9,1·10⁻⁷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7,4·10⁻⁹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1,38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4,01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0,0125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4,7·10⁻²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5,7·10⁻⁸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7,4·10⁻⁹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1,15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4,01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2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error_vs_ste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4 – Ошибка численных методов в зависимости от шага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Порядок метода Эйлера приближается к 1, метода RK4 — к 4, как и предсказывает теория [4]. На практике это значит: если уменьшить шаг вдвое, ошибка метода Эйлера уменьшится вдвое, а ошибка RK4 — в 16 раз. Ошибка RK45 почти не зависит от шага вывода, потому что метод сам выбирает свой внутренний шаг. Разницу хорошо видно и на графике переходного процесса при одном и том же шаге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(рисунок 5): кривая RK4 совпадает с точным решением, а кривая метода Эйлера заметно отклоняется.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euler_vs_rk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5 – Переходный процесс колебательного звена: Эйлер и RK4 при h = 0,1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2.5. Эксперимент 2: число шагов для заданной точности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каждого метода подбирался наибольший шаг, при котором ошибка на интервале 8 с не превышает 0,001 (таблица 5).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5 – Шаг и число шагов для ошибки не больше 0,001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474"/>
        <w:gridCol w:w="1247"/>
        <w:gridCol w:w="1134"/>
        <w:gridCol w:w="1247"/>
        <w:gridCol w:w="1474"/>
      </w:tblGrid>
      <w:tr>
        <w:trPr>
          <w:cantSplit/>
        </w:trPr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Схема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Шаг Эйлер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Шагов Эйлер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Шаг RK4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Шагов RK4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Выигрыш RK4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звено 1-го порядка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0,00390625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2048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16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128 раз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колебательное звено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0,000488281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16384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0,25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512 раз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замкнутый контур с ПИД</w:t>
            </w:r>
          </w:p>
        </w:tc>
        <w:tc>
          <w:tcPr>
            <w:tcW w:type="dxa" w:w="147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0,000244141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32768</w:t>
            </w:r>
          </w:p>
        </w:tc>
        <w:tc>
          <w:tcPr>
            <w:tcW w:type="dxa" w:w="113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0,125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64</w:t>
            </w:r>
          </w:p>
        </w:tc>
        <w:tc>
          <w:tcPr>
            <w:tcW w:type="dxa" w:w="147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512 раз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Методу Эйлера нужно в 128–512 раз больше шагов, чем RK4. Даже с учётом того, что шаг RK4 в четыре раза дороже, RK4 выигрывает в десятки раз.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2.6. Эксперимент 3: устойчивость метода Эйлера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У численного метода есть ещё одно свойство — устойчивость: при слишком большом шаге расчёт может «взорваться», хотя сама система устойчива. Для звена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+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один шаг метода Эйлера умножает отклонение от установившегося значения на </w:t>
      </w:r>
      <m:oMath xmlns:a="http://schemas.openxmlformats.org/drawingml/2006/main" xmlns:pic="http://schemas.openxmlformats.org/drawingml/2006/picture"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h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/</m:t>
            </m:r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. Если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&gt;</m:t>
        </m:r>
        <m:r>
          <w:rPr>
            <w:rFonts w:ascii="Cambria Math" w:hAnsi="Cambria Math" w:cs="Cambria Math"/>
            <w:sz w:val="28"/>
            <w:szCs w:val="28"/>
          </w:rPr>
          <m:t>2</m:t>
        </m:r>
        <m:r>
          <w:rPr>
            <w:rFonts w:ascii="Cambria Math" w:hAnsi="Cambria Math" w:cs="Cambria Math"/>
            <w:sz w:val="28"/>
            <w:szCs w:val="28"/>
          </w:rPr>
          <m:t>T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модуль этого множителя больше единицы и ошибка растёт с каждым шагом (таблица 6, рисунок 6).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6 – Звено 1-го порядка (T = 1 с): отклонение при t = 30 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"/>
        <w:gridCol w:w="1701"/>
        <w:gridCol w:w="1474"/>
        <w:gridCol w:w="1701"/>
        <w:gridCol w:w="1474"/>
        <w:gridCol w:w="1701"/>
      </w:tblGrid>
      <w:tr>
        <w:trPr>
          <w:cantSplit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h / T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Множитель за шаг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Эйлер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Итог Эйлер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Итог RK4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9,6·10⁻¹⁴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1,0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1,7·10⁻¹³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9,5·10⁻⁷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5,5·10⁻¹²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1,9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0,9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1,9·10⁻¹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5,6·10⁻⁹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3,8·10⁰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расходится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9,7·10⁻⁷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2,5</w:t>
            </w:r>
          </w:p>
        </w:tc>
        <w:tc>
          <w:tcPr>
            <w:tcW w:type="dxa" w:w="170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1,5</w:t>
            </w:r>
          </w:p>
        </w:tc>
        <w:tc>
          <w:tcPr>
            <w:tcW w:type="dxa" w:w="147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1,3·10²</w:t>
            </w:r>
          </w:p>
        </w:tc>
        <w:tc>
          <w:tcPr>
            <w:tcW w:type="dxa" w:w="170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расходится</w:t>
            </w:r>
          </w:p>
        </w:tc>
        <w:tc>
          <w:tcPr>
            <w:tcW w:type="dxa" w:w="147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5,5·10⁻³</w:t>
            </w:r>
          </w:p>
        </w:tc>
        <w:tc>
          <w:tcPr>
            <w:tcW w:type="dxa" w:w="170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euler_stabi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6 – Метод Эйлера при разных шагах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RK4 устойчив при заметно больших шагах, но и у него есть граница. Поэтому, если пользователь выбрал RK4 с постоянным шагом, система до расчёта проверяет шаг по полюсам модели (листинг 4 приложения А). Если численное решение будет неустойчивым, расчёт не запускается, а пользователь получает сообщение с допустимым шагом. Это тоже возможно только благодаря единой модели: полюса известны заранее.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2.7. Эксперимент 4: время расчёта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Время расчёта контура с ПИД-регулятором на интервале 10 с приведено в таблице 7.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7 – Время расчёта (контур с ПИД, 10 с, h = 0,01)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268"/>
        <w:gridCol w:w="1984"/>
        <w:gridCol w:w="1984"/>
      </w:tblGrid>
      <w:tr>
        <w:trPr>
          <w:cantSplit/>
        </w:trPr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Метод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Вычислений на шаг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Время, мс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Ошибка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Эйлер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10,13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3,7·10⁻²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RK4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4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27,68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2,3·10⁻⁸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RK45</w:t>
            </w:r>
          </w:p>
        </w:tc>
        <w:tc>
          <w:tcPr>
            <w:tcW w:type="dxa" w:w="2268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переменно</w:t>
            </w:r>
          </w:p>
        </w:tc>
        <w:tc>
          <w:tcPr>
            <w:tcW w:type="dxa" w:w="198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31,78</w:t>
            </w:r>
          </w:p>
        </w:tc>
        <w:tc>
          <w:tcPr>
            <w:tcW w:type="dxa" w:w="198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7,4·10⁻⁹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методы рассчитывают учебную схему за десятки миллисекунд, то есть пользователь получает результат практически сразу. При этом ошибка RK4 и RK45 в миллионы раз меньше, чем у метода Эйлера. Поэтому в системе по умолчанию используется RK45, RK4 доступен для расчёта с постоянным шагом, а метод Эйлера оставлен только в исследовательских сценариях для сравнения.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2.8. Виды анализа в системе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Единая модель позволяет получить основные характеристики САУ (таблица 8). Все они вычисляются по одним и тем же матрицам, поэтому согласованы между собой.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8 – Виды анализа и как они получаются из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5953"/>
      </w:tblGrid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Вид анализа</w:t>
            </w:r>
          </w:p>
        </w:tc>
        <w:tc>
          <w:tcPr>
            <w:tcW w:type="dxa" w:w="5953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Как получается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Переходный процесс</w:t>
            </w:r>
          </w:p>
        </w:tc>
        <w:tc>
          <w:tcPr>
            <w:tcW w:type="dxa" w:w="5953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численное решение уравнений модели (разделы 2.3–2.7)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Показатели качества: перерегулирование, время регулирования</w:t>
            </w:r>
          </w:p>
        </w:tc>
        <w:tc>
          <w:tcPr>
            <w:tcW w:type="dxa" w:w="5953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 xml:space="preserve">по переходному процессу и установившемуся значению </w:t>
            </w:r>
            <m:oMath xmlns:a="http://schemas.openxmlformats.org/drawingml/2006/main" xmlns:pic="http://schemas.openxmlformats.org/drawingml/2006/picture"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−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C</m:t>
                  </m:r>
                  <m:sSup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−</m:t>
                      </m:r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1</m:t>
                      </m:r>
                    </m:sup>
                  </m:sSup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B</m:t>
                  </m:r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 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r</m:t>
              </m:r>
            </m:oMath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Полюса и устойчивость</w:t>
            </w:r>
          </w:p>
        </w:tc>
        <w:tc>
          <w:tcPr>
            <w:tcW w:type="dxa" w:w="5953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 xml:space="preserve">собственные числа матрицы </w:t>
            </w:r>
            <m:oMath xmlns:a="http://schemas.openxmlformats.org/drawingml/2006/main" xmlns:pic="http://schemas.openxmlformats.org/drawingml/2006/picture">
              <m:r>
                <w:rPr>
                  <w:rFonts w:ascii="Cambria Math" w:hAnsi="Cambria Math" w:cs="Cambria Math"/>
                  <w:sz w:val="24"/>
                  <w:szCs w:val="24"/>
                </w:rPr>
                <m:t>A</m:t>
              </m:r>
            </m:oMath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Частотные характеристики</w:t>
            </w:r>
          </w:p>
        </w:tc>
        <w:tc>
          <w:tcPr>
            <w:tcW w:type="dxa" w:w="5953"/>
          </w:tcPr>
          <w:p>
            <w:pPr>
              <w:keepNext/>
              <w:spacing w:line="240" w:lineRule="auto"/>
              <w:ind w:firstLine="0"/>
              <w:jc w:val="center"/>
            </w:pPr>
            <w:r/>
            <m:oMath xmlns:a="http://schemas.openxmlformats.org/drawingml/2006/main" xmlns:pic="http://schemas.openxmlformats.org/drawingml/2006/picture">
              <m:r>
                <w:rPr>
                  <w:rFonts w:ascii="Cambria Math" w:hAnsi="Cambria Math" w:cs="Cambria Math"/>
                  <w:sz w:val="24"/>
                  <w:szCs w:val="24"/>
                </w:rP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j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ω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=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C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j</m:t>
                      </m:r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ω</m:t>
                      </m:r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−</m:t>
                      </m:r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A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−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1</m:t>
                  </m:r>
                </m:sup>
              </m:sSup>
              <m:r>
                <w:rPr>
                  <w:rFonts w:ascii="Cambria Math" w:hAnsi="Cambria Math" w:cs="Cambria Math"/>
                  <w:sz w:val="24"/>
                  <w:szCs w:val="24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+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D</m:t>
              </m:r>
            </m:oMath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Модель системы</w:t>
            </w:r>
          </w:p>
        </w:tc>
        <w:tc>
          <w:tcPr>
            <w:tcW w:type="dxa" w:w="5953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 xml:space="preserve">матрицы </w:t>
            </w:r>
            <m:oMath xmlns:a="http://schemas.openxmlformats.org/drawingml/2006/main" xmlns:pic="http://schemas.openxmlformats.org/drawingml/2006/picture">
              <m:r>
                <w:rPr>
                  <w:rFonts w:ascii="Cambria Math" w:hAnsi="Cambria Math" w:cs="Cambria Math"/>
                  <w:sz w:val="24"/>
                  <w:szCs w:val="24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D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 xml:space="preserve"> и то, какому блоку принадлежит каждая переменная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 Обобщение полученных результатов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3.1. Научные и практические результаты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ходе НИР получены следующие результаты.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Проанализированы пять средств моделирования САУ; показано, что ни одно не сочетает работу в браузере, бесплатность и открытость, и сформулированы требования к веб-системе.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Обоснована архитектура: редактор и графики в браузере, расчёты на сервере на Python с NumPy и SciPy, одно вычислительное ядро для интерфейса и для исследований.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Обоснован подход единой модели в пространстве состояний: в отличие от поблочного расчёта он решает петли без инерционных звеньев и сразу даёт полюса и передаточную функцию системы.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Экспериментально подтверждены порядки точности методов Эйлера (1) и RK4 (4); методу Эйлера для той же точности нужно в 128–512 раз больше шагов.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– Показано, что метод Эйлера теряет устойчивость 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&gt;</m:t>
        </m:r>
        <m:r>
          <w:rPr>
            <w:rFonts w:ascii="Cambria Math" w:hAnsi="Cambria Math" w:cs="Cambria Math"/>
            <w:sz w:val="28"/>
            <w:szCs w:val="28"/>
          </w:rPr>
          <m:t>2</m:t>
        </m:r>
        <m:r>
          <w:rPr>
            <w:rFonts w:ascii="Cambria Math" w:hAnsi="Cambria Math" w:cs="Cambria Math"/>
            <w:sz w:val="28"/>
            <w:szCs w:val="28"/>
          </w:rPr>
          <m:t>T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и обоснована проверка шага по полюсам модели до расчёта.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Практический результат — архитектура и вычислительное ядро веб-системы визуального моделирования, на которых строится выпускная квалификационная работа.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3.2. Ограничения и направления дальнейшей работы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система рассчитана на линейные звенья; для нелинейных элементов (насыщение, реле) потребуется сочетать единую модель с поблочным расчётом нелинейной части;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входные воздействия пока только ступенчатые;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алгоритм построения единой модели по схеме разрабатывается в курсовом проекте.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результате НИР исследованы подходы к построению веб-системы моделирования систем автоматического управления.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Обзор существующих средств показал, что для учебного процесса нужна среда, которая работает в браузере, бесплатна и показывает полученную модель. Для неё выбрана клиент-серверная архитектура с расчётами на сервере, что обеспечивает точность, проверяемость и возможность повторять расчёты из консоли.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Сравнение подходов к получению модели показало преимущество единой модели в пространстве состояний: она рассчитывает все тестовые схемы, включая недоступные поблочному расчёту, и сразу даёт полюса, передаточные функции и частотные характеристики.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Эксперименты с численными методами подтвердили теоретические порядки точности и показали, что методы Рунге–Кутты в сотни раз экономнее метода Эйлера при той же точности; для метода Эйлера найдена граница устойчивости по шагу.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Результаты использованы при разработке веб-системы визуального моделирования — выпускной квалификационной работы.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использованных источников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Финошин А.В., Корнюшин Ю.П., Краснощеченко В.И. Научно-исследовательская работа: практикум. – Калуга: КФ МГТУ им. Н.Э. Баумана, 2024. – 17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Бесекерский В.А., Попов Е.П. Теория систем автоматического регулирования. – М.: Директмедиа, 2021. – 747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Ким Д.П. Теория автоматического управления. Т. 1. Линейные системы. – М.: Физматлит, 2016. – 312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Hairer E., Nørsett S.P., Wanner G. Solving Ordinary Differential Equations I: Nonstiff Problems. – Berlin; Heidelberg: Springer, 2008. – 528 p.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Simulink – Simulation and Model-Based Design [Электронный ресурс]. – URL: https://www.mathworks.com/products/simulink.html (дата обращения: 20.10.2026).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 Scilab: Xcos [Электронный ресурс]. – URL: https://www.scilab.org/software/xcos (дата обращения: 20.10.2026).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7. OpenModelica [Электронный ресурс]. – URL: https://openmodelica.org/ (дата обращения: 20.10.2026).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8. SimInTech – среда динамического моделирования технических систем [Электронный ресурс]. – URL: https://simintech.ru/ (дата обращения: 20.10.2026).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9. Engee – среда модельно-ориентированного проектирования [Электронный ресурс]. – URL: https://start.engee.com/ (дата обращения: 20.10.2026).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10. NumPy Documentation [Электронный ресурс]. – URL: https://numpy.org/doc/ (дата обращения: 20.10.2026).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11. SciPy API Reference [Электронный ресурс]. – URL: https://docs.scipy.org/doc/scipy/reference/ (дата обращения: 20.10.2026).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</w: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1 – Метод Эйлера (app/simulation/solvers.py)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euler_integrate(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rhs: Rhs,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t_grid: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*,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breakpoints: Sequence[float] = 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"""Explicit Euler on the given grid: x_{k+1} = x_k + h·f(t_k, x_k).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First-order reference method for the numerical study; it is not offered by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the API. The derivative is taken at the left end of each step, so a jump at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 breakpoint grid node takes effect from the step that starts there.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_validate_time_grid(t_grid)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del breakpoints  # the left-point rule never evaluates past the step start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x0.size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np.zeros((0,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 = np.zeros((x0.size,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trajectory[:, 0] = x0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 = x0.astype(float).copy()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index in range(t_grid.size - 1):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left, right = float(t_grid[index]), float(t_grid[index + 1])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with np.errstate(over="ignore", invalid="ignore"):  # divergence is reported below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x = x + (right - left) * rhs(left, 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not np.all(np.isfinite(x)):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SolverError(f"Эйлер: состояние перестало быть конечным в момент t={right:g}.")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trajectory[:, index + 1] = x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trajectory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2 – Метод Рунге–Кутты 4-го порядка (app/simulation/solvers.py)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rk4_integrate(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rhs: Rhs,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t_grid: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*,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breakpoints: Sequence[float] = 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"""Classical RK4 on the given grid; every breakpoint must be a grid node.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At a step that ends exactly on a breakpoint the last stage is evaluated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just before it (left limit of the input), so the jump is applied only at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the start of the next step.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_validate_time_grid(t_grid)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x0.size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np.zeros((0,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ends_on_jump = np.isin(t_grid[1:], np.asarray(breakpoints, dtype=float))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 = np.zeros((x0.size,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trajectory[:, 0] = x0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 = x0.astype(float).copy()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index in range(t_grid.size - 1):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left, right = float(t_grid[index]), float(t_grid[index + 1])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h = right - left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k4_time = float(np.nextafter(right, left)) if ends_on_jump[index] else right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k1 = rhs(left, 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k2 = rhs(left + 0.5 * h, x + 0.5 * h * k1)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k3 = rhs(left + 0.5 * h, x + 0.5 * h * k2)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k4 = rhs(k4_time, x + h * k3)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x = x + (h / 6.0) * (k1 + 2.0 * k2 + 2.0 * k3 + k4)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not np.all(np.isfinite(x)):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SolverError(f"RK4: состояние перестало быть конечным в момент t={right:g}.")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trajectory[:, index + 1] = x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trajectory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3 – Точное решение через матричную экспоненту (app/simulation/solvers.py)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exact_lti_integrate(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source_values: Callable[[float], np.ndarray],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t_grid: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"""Exact solution of x' = A x + B r for r constant on every grid interval.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x(t + h) = e^{Ah} x(t) + G(h) B r,  G(h) = integral_0^h e^{A s} ds,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both taken from the matrix exponential of [[A, I], [0, 0]] h. The grid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must contain every input jump. Used as the reference for RK4 and RK45.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_validate_time_grid(t_grid)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 = x0.size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n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np.zeros((0,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augmented = np.zeros((2 * n, 2 * 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augmented[:n, :n] = 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augmented[:n, n:] = np.eye(n)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cache: dict[float, tuple[np.ndarray, np.ndarray]]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 = np.zeros((n,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trajectory[:, 0] = x0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 = x0.astype(float).copy()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index in range(t_grid.size - 1):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h = float(t_grid[index + 1] - t_grid[index])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Steps of a uniform grid differ only by rounding; 13 significant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digits keep one propagator per nominal step.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key = float(f"{h:.12e}")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key not in cache: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exponential = expm(augmented * key)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cache[key] = (exponential[:n, :n], exponential[:n, n:])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phi, gamma = cache[key]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x = phi @ x + gamma @ (b @ source_values(float(t_grid[index])))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trajectory[:, index + 1] = x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trajectory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4 – Проверка шага RK4 по полюсам модели (app/analysis/stability.py)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rk4_step_check(a: np.ndarray, step: float) -&gt; dict[str, Any]: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"""Compare the RK4 amplification with the exact one, e^(h lambda), per mode.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 mode that is stable or marginal physically (Re lambda &lt;= tol) must not be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amplified by the method: |R(h lambda)| &gt; 1 is numerical instability and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the step is rejected. For a physically growing mode the growth is real;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only a large relative error of the per-step factor is reported.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a.size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{"stable": True, "unstable_modes": [], "max_step": None, "inaccurate_growing_modes": []}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poles = np.linalg.eigvals(a)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unstable: list[complex]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limits: list[float]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inaccurate: list[complex]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pole in poles: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z = step * pole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amplification = abs(rk4_amplification(z))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Relative to |lambda|: a fast block elsewhere must not turn a slowly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growing mode into an "axis" mode.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pole.real &lt;= AXIS_RTOL * abs(pole):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amplification &gt; 1.0 + 1e-12: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unstable.append(complex(pole))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limits.append(_rk4_step_limit(complex(pole), step))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exact = abs(np.exp(z))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abs(amplification - exact) &gt; 0.01 * exact: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inaccurate.append(complex(pole))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{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"stable": not unstable,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"unstable_modes": unstable,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"max_step": min(limits) if limits else None,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"inaccurate_growing_modes": inaccurate,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}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5 – Эксперимент «шаг для заданной точности» (scripts/nir_solver_study.py)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step_for_tolerance(tolerance: float = 1e-3) -&gt; list[dict]: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"""Наибольший шаг из ряда h = 0.5 / 2^k, при котором ошибка не превышает tolerance."""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rows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case, diagram in CASES.items():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model = model_of(diagram)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row: dict = {"схема": case}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name in ("Эйлер", "RK4"):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dt = 0.5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while dt &gt; 1e-5: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grid = grid_of(8.0, dt)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try: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error = float(np.max(np.abs(simulate(model, METHODS[name], grid) - exact(model, grid))))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except SolverError: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error = np.inf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if error &lt;= tolerance: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break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dt /= 2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row[f"шаг {name}"] = f"{dt:g}"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row[f"шагов {name}"] = int(round(8.0 / dt))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row["выигрыш RK4, раз"] = f"{row['шагов Эйлер'] / row['шагов RK4']:.0f}"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rows.append(row)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rows</w:t>
      </w:r>
    </w:p>
    <w:p>
      <w:pPr>
        <w:keepNext w:val="0"/>
        <w:spacing w:line="240" w:lineRule="auto" w:before="0" w:after="0"/>
        <w:ind w:firstLine="709"/>
        <w:jc w:val="both"/>
      </w:pP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NIR_report</dc:title>
  <dc:subject/>
  <dc:creator>Исаев А.А.</dc:creator>
  <cp:keywords/>
  <dc:description/>
  <cp:lastModifiedBy>Исаев А.А.</cp:lastModifiedBy>
  <cp:revision>1</cp:revision>
  <dcterms:created xsi:type="dcterms:W3CDTF">2013-12-23T23:15:00Z</dcterms:created>
  <dcterms:modified xsi:type="dcterms:W3CDTF">2013-12-23T23:15:00Z</dcterms:modified>
  <cp:category/>
</cp:coreProperties>
</file>