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ancorada na dor específica do anúncio que gerou o lead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Confira qual foi o anúncio/campanha que originou o lead — cada anúncio apresenta uma dor específica (inadimplência, conflito entre vizinhos, insegurança jurídica, falta de transparência, etc.). É essa dor que você vai usar como gancho da ligação, não uma abertura genérica.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Profissionais.</w:t>
      </w:r>
    </w:p>
    <w:p>
      <w:pPr/>
      <w:r>
        <w:rPr>
          <w:b w:val="0"/>
          <w:i w:val="0"/>
        </w:rPr>
        <w:t>Abrir mencionando diretamente a dor do anúncio: "Vi que você chegou até a gente pelo conteúdo sobre [inadimplência / conflito entre moradores / segurança jurídica / transparência financeira] — é algo que vocês enfrentam aí no condomínio?"</w:t>
      </w:r>
    </w:p>
    <w:p>
      <w:pPr/>
      <w:r>
        <w:rPr>
          <w:b w:val="0"/>
          <w:i w:val="0"/>
        </w:rPr>
        <w:t>Deixar a pessoa confirmar e detalhar a própria dor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— a Cláudia é moradora do Condomínio Esturión, em Porto Alegre, e conta como foi a experiência de 4 anos com a gestão da Strategia: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"Queria muito entender se ainda faz sentido pra você a gente bater um papo sobre o seu condomínio. Consigo te ajudar a resolver isso antes que vire um problema maior 🙏"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