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para o vocabulário das páginas quanto para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para 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para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para 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para resolver um gargalo" (concreto e delimitado), e deixa claro que Diagnóstico/Mentoria são caminhos condicionais, para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te impedindo de vender mais para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para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para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 e recomendação:</w:t>
      </w:r>
      <w:r>
        <w:rPr>
          <w:sz w:val="21"/>
          <w:szCs w:val="21"/>
        </w:rPr>
        <w:t xml:space="preserve"> o preço parece bem calibrado para executivos (maior poder aquisitivo médio entre as três personas), e arriscado, não necessariamente errado, mas não comprovado, para as empresas de síndico e de fornecimento de menor porte. Sugiro monitorar a taxa de conversão por persona nas primeiras semanas de venda. Se essas duas personas converterem muito abaixo do executivo, vale considerar uma oferta diferenciada por segmento (por exemplo, facilidades de pagamento específicas, ou uma versão de sessão mais curta e com ticket menor), em vez de manter um preço único para os três desde o início.</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para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para Mentoria 8S em até 30 dias — remove o medo de "pagar duas vezes"</w:t>
      </w:r>
    </w:p>
    <w:p>
      <w:pPr>
        <w:spacing w:after="160"/>
      </w:pPr>
      <w:r>
        <w:rPr>
          <w:sz w:val="21"/>
          <w:szCs w:val="21"/>
        </w:rPr>
        <w:t xml:space="preserve">Essa é a régua de clareza que a Sessão Estratégica precisa alcançar, e a sugestão da seção 2 foi desenhada para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para conversa com a Jessie, em vez de só ficar esperando o retorno.</w:t>
      </w:r>
    </w:p>
    <w:p>
      <w:pPr>
        <w:pBdr>
          <w:bottom w:val="single" w:color="cccccc" w:sz="6" w:space="4"/>
        </w:pBdr>
        <w:spacing w:after="200"/>
      </w:pPr>
    </w:p>
    <w:p>
      <w:pPr>
        <w:pStyle w:val="Heading2"/>
        <w:spacing w:after="150" w:before="300"/>
      </w:pPr>
      <w:r>
        <w:t xml:space="preserve">6. Sugestão adicional: alternativa para quem ainda não tem R$700 (só síndico e fornecedor)</w:t>
      </w:r>
    </w:p>
    <w:p>
      <w:pPr>
        <w:spacing w:after="160"/>
      </w:pPr>
      <w:r>
        <w:rPr>
          <w:b/>
          <w:bCs/>
          <w:sz w:val="21"/>
          <w:szCs w:val="21"/>
        </w:rPr>
        <w:t xml:space="preserve">De onde vem:</w:t>
      </w:r>
      <w:r>
        <w:rPr>
          <w:sz w:val="21"/>
          <w:szCs w:val="21"/>
        </w:rPr>
        <w:t xml:space="preserve"> direto da análise de preço da seção 2.5 — nas páginas de síndico e fornecedor, parte de quem chegar até a Sessão Estratégica pode não ter, hoje, os R$700 disponíveis para decidir. Sem alternativa, esse lead se perde. Como já existe curso de entrada para as duas personas, dá para reaproveitar essa oferta como rede de segurança na própria página, em vez de deixar a pessoa ir embora sem nada.</w:t>
      </w:r>
    </w:p>
    <w:p>
      <w:pPr>
        <w:spacing w:after="160"/>
      </w:pPr>
      <w:r>
        <w:rPr>
          <w:b/>
          <w:bCs/>
          <w:sz w:val="21"/>
          <w:szCs w:val="21"/>
        </w:rPr>
        <w:t xml:space="preserve">Onde inserir:</w:t>
      </w:r>
      <w:r>
        <w:rPr>
          <w:sz w:val="21"/>
          <w:szCs w:val="21"/>
        </w:rPr>
        <w:t xml:space="preserve"> logo após o bloco de preço da Sessão Estratégica, só nas páginas de </w:t>
      </w:r>
      <w:r>
        <w:rPr>
          <w:b/>
          <w:bCs/>
          <w:sz w:val="21"/>
          <w:szCs w:val="21"/>
        </w:rPr>
        <w:t xml:space="preserve">síndico</w:t>
      </w:r>
      <w:r>
        <w:rPr>
          <w:sz w:val="21"/>
          <w:szCs w:val="21"/>
        </w:rPr>
        <w:t xml:space="preserve"> e </w:t>
      </w:r>
      <w:r>
        <w:rPr>
          <w:b/>
          <w:bCs/>
          <w:sz w:val="21"/>
          <w:szCs w:val="21"/>
        </w:rPr>
        <w:t xml:space="preserve">fornecedor</w:t>
      </w:r>
      <w:r>
        <w:rPr>
          <w:sz w:val="21"/>
          <w:szCs w:val="21"/>
        </w:rPr>
        <w:t xml:space="preserve"> (o executivo não tem curso próprio, então essa seção não se aplica a ele, mantém a página como está).</w:t>
      </w:r>
    </w:p>
    <w:p>
      <w:pPr>
        <w:spacing w:after="80"/>
      </w:pPr>
      <w:r>
        <w:rPr>
          <w:i/>
          <w:iCs/>
          <w:color w:val="555555"/>
          <w:sz w:val="18"/>
          <w:szCs w:val="18"/>
        </w:rPr>
        <w:t xml:space="preserve">Sugestão de texto (síndico):</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Avançado para Síndico Profissional,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Avançado para Síndico Profissional →] (leva para o checkout do curso na Hotmart)</w:t>
      </w:r>
    </w:p>
    <w:p>
      <w:pPr>
        <w:spacing w:after="80"/>
      </w:pPr>
      <w:r>
        <w:rPr>
          <w:i/>
          <w:iCs/>
          <w:color w:val="555555"/>
          <w:sz w:val="18"/>
          <w:szCs w:val="18"/>
        </w:rPr>
        <w:t xml:space="preserve">Sugestão de texto (fornecedor):</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Aprenda a Multiplicar Vendas para Condomínios,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Aprenda a Multiplicar Vendas para Condomínios →] (leva para o checkout do curso na Hotmart)</w:t>
      </w:r>
    </w:p>
    <w:p>
      <w:pPr>
        <w:spacing w:after="160"/>
      </w:pPr>
      <w:r>
        <w:rPr>
          <w:b/>
          <w:bCs/>
          <w:sz w:val="21"/>
          <w:szCs w:val="21"/>
        </w:rPr>
        <w:t xml:space="preserve">Por que funciona:</w:t>
      </w:r>
      <w:r>
        <w:rPr>
          <w:sz w:val="21"/>
          <w:szCs w:val="21"/>
        </w:rPr>
        <w:t xml:space="preserve"> não é desconto disfarçado nem depreciação do produto principal — é uma segunda oferta, com produto e preço diferentes, para quem realmente ainda não está no momento de pagar R$700. Quem compra o curso continua na base e pode ser trabalhado depois (e-mail, comunidade, redes) até estar pronto para Sessão Estratégica, Diagnóstico ou Mentoria.</w:t>
      </w:r>
    </w:p>
    <w:p>
      <w:pPr>
        <w:pBdr>
          <w:bottom w:val="single" w:color="cccccc" w:sz="6" w:space="4"/>
        </w:pBdr>
        <w:spacing w:after="200"/>
      </w:pPr>
    </w:p>
    <w:p>
      <w:pPr>
        <w:pStyle w:val="Heading2"/>
        <w:spacing w:after="150" w:before="300"/>
      </w:pPr>
      <w:r>
        <w:t xml:space="preserve">7. Ajuste no texto de introdução do formulário (Sessão Estratégica e Diagnóstico)</w:t>
      </w:r>
    </w:p>
    <w:p>
      <w:pPr>
        <w:spacing w:after="160"/>
      </w:pPr>
      <w:r>
        <w:rPr>
          <w:b/>
          <w:bCs/>
          <w:sz w:val="21"/>
          <w:szCs w:val="21"/>
        </w:rPr>
        <w:t xml:space="preserve">Como está hoje:</w:t>
      </w:r>
      <w:r>
        <w:rPr>
          <w:sz w:val="21"/>
          <w:szCs w:val="21"/>
        </w:rPr>
        <w:t xml:space="preserve"> "Se preferir, preencha o formulário e entraremos em contato." — não dá nenhum motivo pra usar o formulário em vez de pagar direto ou chamar no WhatsApp, fica sem função clara ao lado das outras opções.</w:t>
      </w:r>
    </w:p>
    <w:p>
      <w:pPr>
        <w:spacing w:after="80"/>
      </w:pPr>
      <w:r>
        <w:rPr>
          <w:i/>
          <w:iCs/>
          <w:color w:val="555555"/>
          <w:sz w:val="18"/>
          <w:szCs w:val="18"/>
        </w:rPr>
        <w:t xml:space="preserve">Sugestão:</w:t>
      </w:r>
    </w:p>
    <w:p>
      <w:pPr>
        <w:pBdr>
          <w:left w:val="single" w:color="cccccc" w:sz="12" w:space="8"/>
        </w:pBdr>
        <w:spacing w:after="120"/>
        <w:ind w:left="400"/>
      </w:pPr>
      <w:r>
        <w:rPr>
          <w:i/>
          <w:iCs/>
          <w:color w:val="333333"/>
          <w:sz w:val="20"/>
          <w:szCs w:val="20"/>
        </w:rPr>
        <w:t xml:space="preserve">Ainda está em dúvida se a sessão é para você? Ou gostaria de tirar uma dúvida antes de adquirir? Preencha o formulário que o nosso time comercial vai te atender.</w:t>
      </w:r>
    </w:p>
    <w:p>
      <w:pPr>
        <w:spacing w:after="160"/>
      </w:pPr>
      <w:r>
        <w:rPr>
          <w:b/>
          <w:bCs/>
          <w:sz w:val="21"/>
          <w:szCs w:val="21"/>
        </w:rPr>
        <w:t xml:space="preserve">Por quê:</w:t>
      </w:r>
      <w:r>
        <w:rPr>
          <w:sz w:val="21"/>
          <w:szCs w:val="21"/>
        </w:rPr>
        <w:t xml:space="preserve"> dá um motivo específico pra usar o formulário (dúvida, não decisão de compra ainda), diferenciando esse caminho do botão de pagamento direto e do WhatsApp flutuante — cada opção da página passa a ter uma função clara: pagar (Hotmart), tirar dúvida rápida (WhatsApp) ou tirar dúvida mais detalhada por escrito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2026-09-09T18:20:28.543Z</dcterms:created>
  <dcterms:modified xsi:type="dcterms:W3CDTF">2026-09-09T18:20:28.548Z</dcterms:modified>
</cp:coreProperties>
</file>

<file path=docProps/custom.xml><?xml version="1.0" encoding="utf-8"?>
<Properties xmlns="http://schemas.openxmlformats.org/officeDocument/2006/custom-properties" xmlns:vt="http://schemas.openxmlformats.org/officeDocument/2006/docPropsVTypes"/>
</file>