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Marketing, 09/09/2026</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o que precisa ajustar em cada seção, e o motivo.</w:t>
      </w:r>
    </w:p>
    <w:p>
      <w:pPr>
        <w:spacing w:after="160"/>
      </w:pPr>
      <w:r>
        <w:rPr>
          <w:b/>
          <w:bCs/>
          <w:sz w:val="21"/>
          <w:szCs w:val="21"/>
        </w:rPr>
        <w:t xml:space="preserve">Sobre o público:</w:t>
      </w:r>
      <w:r>
        <w:rPr>
          <w:sz w:val="21"/>
          <w:szCs w:val="21"/>
        </w:rPr>
        <w:t xml:space="preserve"> o foco do Giuliano nas personas de síndico e fornecedor é o </w:t>
      </w:r>
      <w:r>
        <w:rPr>
          <w:b/>
          <w:bCs/>
          <w:sz w:val="21"/>
          <w:szCs w:val="21"/>
        </w:rPr>
        <w:t xml:space="preserve">dono de empresa</w:t>
      </w:r>
      <w:r>
        <w:rPr>
          <w:sz w:val="21"/>
          <w:szCs w:val="21"/>
        </w:rPr>
        <w:t xml:space="preserve"> que presta esse serviço (com CNPJ, podendo ter funcionário), não o profissional autônomo/pessoa física. Ou seja: empresa que presta serviço de síndico profissional, e empresa fornecedora/prestadora de serviço para condomínios. Isso é relevante tanto pro vocabulário das páginas quanto pra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a resolução do que já pode ser feito agora na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pro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a resolução" (concreto), e deixa claro que Diagnóstico/Mentoria são caminhos condicionais,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a resolução do que já pode ser feito agora pra vender mais pra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pro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a resolução do que já pode ser feito agora na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pro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 e recomendação:</w:t>
      </w:r>
      <w:r>
        <w:rPr>
          <w:sz w:val="21"/>
          <w:szCs w:val="21"/>
        </w:rPr>
        <w:t xml:space="preserve"> o preço parece bem calibrado para executivos (maior poder aquisitivo médio entre as três personas), e arriscado, não necessariamente errado, mas não comprovado, para as empresas de síndico e de fornecimento de menor porte. Sugiro monitorar a taxa de conversão por persona nas primeiras semanas de venda. Se essas duas personas converterem muito abaixo do executivo, vale considerar uma oferta diferenciada por segmento (por exemplo, facilidades de pagamento específicas, ou uma versão de sessão mais curta e com ticket menor), em vez de manter um preço único para os três desde o início.</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pra Mentoria 8S em até 30 dias — remove o medo de "pagar duas vezes"</w:t>
      </w:r>
    </w:p>
    <w:p>
      <w:pPr>
        <w:spacing w:after="160"/>
      </w:pPr>
      <w:r>
        <w:rPr>
          <w:sz w:val="21"/>
          <w:szCs w:val="21"/>
        </w:rPr>
        <w:t xml:space="preserve">Essa é a régua de clareza que a Sessão Estratégica precisa alcançar, e a sugestão da seção 2 foi desenhada pra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Melhoria possível:</w:t>
      </w:r>
      <w:r>
        <w:rPr>
          <w:sz w:val="21"/>
          <w:szCs w:val="21"/>
        </w:rPr>
        <w:t xml:space="preserve"> depois que a pessoa preencher o formulário ("se preferir, preencha o formulário e entraremos em contato"), pode aparecer também um botão de WhatsApp levando direto pra conversa com a Jessie, em vez de só ficar esperando o retorno.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2026-09-09T17:59:24.780Z</dcterms:created>
  <dcterms:modified xsi:type="dcterms:W3CDTF">2026-09-09T17:59:24.783Z</dcterms:modified>
</cp:coreProperties>
</file>

<file path=docProps/custom.xml><?xml version="1.0" encoding="utf-8"?>
<Properties xmlns="http://schemas.openxmlformats.org/officeDocument/2006/custom-properties" xmlns:vt="http://schemas.openxmlformats.org/officeDocument/2006/docPropsVTypes"/>
</file>