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e Sugestões — Páginas de Sessão Estratégica e Diagnóstico</w:t>
      </w:r>
    </w:p>
    <w:p>
      <w:pPr>
        <w:spacing w:after="80"/>
      </w:pPr>
      <w:r>
        <w:rPr>
          <w:i/>
          <w:iCs/>
          <w:color w:val="555555"/>
          <w:sz w:val="18"/>
          <w:szCs w:val="18"/>
        </w:rPr>
        <w:t xml:space="preserve">Recria - Agência de Marketing, 09/09/2026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Páginas analisadas:</w:t>
      </w:r>
      <w:r>
        <w:rPr>
          <w:sz w:val="21"/>
          <w:szCs w:val="21"/>
        </w:rPr>
        <w:t xml:space="preserve"> Sessão Estratégica (executivos, fornecedores, síndicos) e Diagnóstico Empresarial (executivos, fornecedores, síndicos), elevags.com.br</w:t>
      </w:r>
    </w:p>
    <w:p>
      <w:pPr>
        <w:spacing w:after="160"/>
      </w:pPr>
      <w:r>
        <w:rPr>
          <w:b/>
          <w:bCs/>
          <w:sz w:val="21"/>
          <w:szCs w:val="21"/>
        </w:rPr>
        <w:t xml:space="preserve">Contexto:</w:t>
      </w:r>
      <w:r>
        <w:rPr>
          <w:sz w:val="21"/>
          <w:szCs w:val="21"/>
        </w:rPr>
        <w:t xml:space="preserve"> a Sessão Estratégica e o Diagnóstico passaram a ser pagos (R$700 e R$3.950). A Amanda avaliou que a promessa das páginas de Sessão Estratégica está vaga e talvez não venda a ideia da sessão o suficiente frente ao investimento, enquanto o Diagnóstico já está claro. Este documento reúne sugestões de ajustes em cada seção, e o motivo.</w:t>
      </w:r>
    </w:p>
    <w:p>
      <w:pPr>
        <w:spacing w:after="160"/>
      </w:pPr>
      <w:r>
        <w:rPr>
          <w:b/>
          <w:bCs/>
          <w:sz w:val="21"/>
          <w:szCs w:val="21"/>
        </w:rPr>
        <w:t xml:space="preserve">Sobre o público:</w:t>
      </w:r>
      <w:r>
        <w:rPr>
          <w:sz w:val="21"/>
          <w:szCs w:val="21"/>
        </w:rPr>
        <w:t xml:space="preserve"> o foco do Giuliano nas personas de síndico e fornecedor é preferencialmente o </w:t>
      </w:r>
      <w:r>
        <w:rPr>
          <w:b/>
          <w:bCs/>
          <w:sz w:val="21"/>
          <w:szCs w:val="21"/>
        </w:rPr>
        <w:t xml:space="preserve">dono de empresa</w:t>
      </w:r>
      <w:r>
        <w:rPr>
          <w:sz w:val="21"/>
          <w:szCs w:val="21"/>
        </w:rPr>
        <w:t xml:space="preserve"> que presta esse serviço (com CNPJ, podendo ter funcionário). O profissional autônomo/pessoa física, se tiver condições financeiras, entra como a curva B de persona/cliente da Eleva nas frentes de Sessão Estratégica, Diagnóstico ou Mentoria — mas é um cliente potencial como parceiro das outras frentes do Eleva Group, como o Hub e a Eleva Seguros. Isso é relevante tanto pro vocabulário das páginas quanto pra análise de preço (seção 2.5) — donos de administradora/imobiliária tendem a ter poder aquisitivo maior do que donos de empresa de síndico ou de empresa fornecedora, mesmo todos sendo donos de empresa.</w:t>
      </w:r>
    </w:p>
    <w:p>
      <w:pPr>
        <w:pBdr>
          <w:bottom w:val="single" w:color="cccccc" w:sz="6" w:space="4"/>
        </w:pBdr>
        <w:spacing w:after="200"/>
      </w:pPr>
    </w:p>
    <w:p>
      <w:pPr>
        <w:pStyle w:val="Heading2"/>
        <w:spacing w:after="150" w:before="300"/>
      </w:pPr>
      <w:r>
        <w:t xml:space="preserve">1. Bugs técnicos (prioridade alta, afeta captação de 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Página</w:t>
            </w:r>
          </w:p>
        </w:tc>
        <w:tc>
          <w:tcPr>
            <w:tcW w:type="dxa" w:w="3008"/>
            <w:shd w:fill="1c2b4a" w:val="clear"/>
          </w:tcPr>
          <w:p>
            <w:r>
              <w:rPr>
                <w:b/>
                <w:bCs/>
                <w:color w:val="FFFFFF"/>
                <w:sz w:val="19"/>
                <w:szCs w:val="19"/>
              </w:rPr>
              <w:t xml:space="preserve">Problema</w:t>
            </w:r>
          </w:p>
        </w:tc>
        <w:tc>
          <w:tcPr>
            <w:tcW w:type="dxa" w:w="3008"/>
            <w:shd w:fill="1c2b4a" w:val="clear"/>
          </w:tcPr>
          <w:p>
            <w:r>
              <w:rPr>
                <w:b/>
                <w:bCs/>
                <w:color w:val="FFFFFF"/>
                <w:sz w:val="19"/>
                <w:szCs w:val="19"/>
              </w:rPr>
              <w:t xml:space="preserve">Por que ajustar</w:t>
            </w:r>
          </w:p>
        </w:tc>
      </w:tr>
      <w:tr>
        <w:tc>
          <w:tcPr>
            <w:tcW w:type="dxa" w:w="3008"/>
          </w:tcPr>
          <w:p>
            <w:r>
              <w:rPr>
                <w:b w:val="false"/>
                <w:bCs w:val="false"/>
                <w:color w:val="000000"/>
                <w:sz w:val="19"/>
                <w:szCs w:val="19"/>
              </w:rPr>
              <w:t xml:space="preserve">Sessão Estratégica — Executivos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Ninguém consegue submeter o formulário; todo lead que preferisse essa via se perde</w:t>
            </w:r>
          </w:p>
        </w:tc>
      </w:tr>
      <w:tr>
        <w:tc>
          <w:tcPr>
            <w:tcW w:type="dxa" w:w="3008"/>
          </w:tcPr>
          <w:p>
            <w:r>
              <w:rPr>
                <w:b w:val="false"/>
                <w:bCs w:val="false"/>
                <w:color w:val="000000"/>
                <w:sz w:val="19"/>
                <w:szCs w:val="19"/>
              </w:rPr>
              <w:t xml:space="preserve">Sessão Estratégica — Síndicos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Mesmo problema acima</w:t>
            </w:r>
          </w:p>
        </w:tc>
      </w:tr>
      <w:tr>
        <w:tc>
          <w:tcPr>
            <w:tcW w:type="dxa" w:w="3008"/>
          </w:tcPr>
          <w:p>
            <w:r>
              <w:rPr>
                <w:b w:val="false"/>
                <w:bCs w:val="false"/>
                <w:color w:val="000000"/>
                <w:sz w:val="19"/>
                <w:szCs w:val="19"/>
              </w:rPr>
              <w:t xml:space="preserve">Sessão Estratégica — Fornecedores</w:t>
            </w:r>
          </w:p>
        </w:tc>
        <w:tc>
          <w:tcPr>
            <w:tcW w:type="dxa" w:w="3008"/>
          </w:tcPr>
          <w:p>
            <w:r>
              <w:rPr>
                <w:b w:val="false"/>
                <w:bCs w:val="false"/>
                <w:color w:val="000000"/>
                <w:sz w:val="19"/>
                <w:szCs w:val="19"/>
              </w:rPr>
              <w:t xml:space="preserve">Botão "Agendar minha Sessão Estratégica" aparece </w:t>
            </w:r>
            <w:r>
              <w:rPr>
                <w:b w:val="false"/>
                <w:bCs w:val="false"/>
                <w:color w:val="000000"/>
                <w:sz w:val="19"/>
                <w:szCs w:val="19"/>
              </w:rPr>
              <w:t xml:space="preserve">acima</w:t>
            </w:r>
            <w:r>
              <w:rPr>
                <w:b w:val="false"/>
                <w:bCs w:val="false"/>
                <w:color w:val="000000"/>
                <w:sz w:val="19"/>
                <w:szCs w:val="19"/>
              </w:rPr>
              <w:t xml:space="preserve"> do formulário, não como botão de envio</w:t>
            </w:r>
          </w:p>
        </w:tc>
        <w:tc>
          <w:tcPr>
            <w:tcW w:type="dxa" w:w="3008"/>
          </w:tcPr>
          <w:p>
            <w:r>
              <w:rPr>
                <w:b w:val="false"/>
                <w:bCs w:val="false"/>
                <w:color w:val="000000"/>
                <w:sz w:val="19"/>
                <w:szCs w:val="19"/>
              </w:rPr>
              <w:t xml:space="preserve">Confunde o usuário: parece um CTA solto, não o botão de submissão do formulário. Deveria vir depois dos campos</w:t>
            </w:r>
          </w:p>
        </w:tc>
      </w:tr>
      <w:tr>
        <w:tc>
          <w:tcPr>
            <w:tcW w:type="dxa" w:w="3008"/>
          </w:tcPr>
          <w:p>
            <w:r>
              <w:rPr>
                <w:b w:val="false"/>
                <w:bCs w:val="false"/>
                <w:color w:val="000000"/>
                <w:sz w:val="19"/>
                <w:szCs w:val="19"/>
              </w:rPr>
              <w:t xml:space="preserve">Diagnóstico — Executivos, Fornecedores e Síndicos</w:t>
            </w:r>
          </w:p>
        </w:tc>
        <w:tc>
          <w:tcPr>
            <w:tcW w:type="dxa" w:w="3008"/>
          </w:tcPr>
          <w:p>
            <w:r>
              <w:rPr>
                <w:b w:val="false"/>
                <w:bCs w:val="false"/>
                <w:color w:val="000000"/>
                <w:sz w:val="19"/>
                <w:szCs w:val="19"/>
              </w:rPr>
              <w:t xml:space="preserve">Mesmo padrão: formulário sem botão de enviar visível</w:t>
            </w:r>
          </w:p>
        </w:tc>
        <w:tc>
          <w:tcPr>
            <w:tcW w:type="dxa" w:w="3008"/>
          </w:tcPr>
          <w:p>
            <w:r>
              <w:rPr>
                <w:b w:val="false"/>
                <w:bCs w:val="false"/>
                <w:color w:val="000000"/>
                <w:sz w:val="19"/>
                <w:szCs w:val="19"/>
              </w:rPr>
              <w:t xml:space="preserve">Mesmo motivo acima, bug se repete nas 3 páginas de Diagnóstico também</w:t>
            </w:r>
          </w:p>
        </w:tc>
      </w:tr>
    </w:tbl>
    <w:p>
      <w:pPr>
        <w:spacing w:after="160"/>
      </w:pPr>
    </w:p>
    <w:p>
      <w:pPr>
        <w:spacing w:after="160"/>
      </w:pPr>
      <w:r>
        <w:rPr>
          <w:b/>
          <w:bCs/>
          <w:sz w:val="21"/>
          <w:szCs w:val="21"/>
        </w:rPr>
        <w:t xml:space="preserve">Recomendação:</w:t>
      </w:r>
      <w:r>
        <w:rPr>
          <w:sz w:val="21"/>
          <w:szCs w:val="21"/>
        </w:rPr>
        <w:t xml:space="preserve"> revisar o componente de formulário usado em todas as páginas (parece ser o mesmo template), corrigindo de uma vez só em vez de página por página.</w:t>
      </w:r>
    </w:p>
    <w:p>
      <w:pPr>
        <w:pBdr>
          <w:bottom w:val="single" w:color="cccccc" w:sz="6" w:space="4"/>
        </w:pBdr>
        <w:spacing w:after="200"/>
      </w:pPr>
    </w:p>
    <w:p>
      <w:pPr>
        <w:pStyle w:val="Heading2"/>
        <w:spacing w:after="150" w:before="300"/>
      </w:pPr>
      <w:r>
        <w:t xml:space="preserve">2. Sessão Estratégica — promessa vaga frente ao investimento</w:t>
      </w:r>
    </w:p>
    <w:p>
      <w:pPr>
        <w:spacing w:after="160"/>
      </w:pPr>
      <w:r>
        <w:rPr>
          <w:b/>
          <w:bCs/>
          <w:sz w:val="21"/>
          <w:szCs w:val="21"/>
        </w:rPr>
        <w:t xml:space="preserve">Problema comum às 3 páginas:</w:t>
      </w:r>
      <w:r>
        <w:rPr>
          <w:sz w:val="21"/>
          <w:szCs w:val="21"/>
        </w:rPr>
        <w:t xml:space="preserve"> o H1 e o subhead prometem uma </w:t>
      </w:r>
      <w:r>
        <w:rPr>
          <w:i/>
          <w:iCs/>
          <w:sz w:val="21"/>
          <w:szCs w:val="21"/>
        </w:rPr>
        <w:t xml:space="preserve">experiência</w:t>
      </w:r>
      <w:r>
        <w:rPr>
          <w:sz w:val="21"/>
          <w:szCs w:val="21"/>
        </w:rPr>
        <w:t xml:space="preserve"> ("veja pelos olhos de quem já liderou...", "situar o momento... enxergar os cenários possíveis"), não uma </w:t>
      </w:r>
      <w:r>
        <w:rPr>
          <w:i/>
          <w:iCs/>
          <w:sz w:val="21"/>
          <w:szCs w:val="21"/>
        </w:rPr>
        <w:t xml:space="preserve">entrega concreta</w:t>
      </w:r>
      <w:r>
        <w:rPr>
          <w:sz w:val="21"/>
          <w:szCs w:val="21"/>
        </w:rPr>
        <w:t xml:space="preserve">. Para R$700 por 2h, quem está decidindo precisa saber o que leva em mãos ao final, não só uma perspectiva. O Diagnóstico já resolve isso bem (ver seção 4) — a sugestão é replicar essa clareza aqui.</w:t>
      </w:r>
    </w:p>
    <w:p>
      <w:pPr>
        <w:spacing w:after="160"/>
      </w:pPr>
      <w:r>
        <w:rPr>
          <w:b/>
          <w:bCs/>
          <w:sz w:val="21"/>
          <w:szCs w:val="21"/>
        </w:rPr>
        <w:t xml:space="preserve">Lógica da promessa reformulada (vale pras 3 páginas):</w:t>
      </w:r>
      <w:r>
        <w:rPr>
          <w:sz w:val="21"/>
          <w:szCs w:val="21"/>
        </w:rPr>
        <w:t xml:space="preserve"> em vez de prometer "a resolução do que já pode ser feito agora" (ainda meio genérico), a promessa fica em torno de </w:t>
      </w:r>
      <w:r>
        <w:rPr>
          <w:b/>
          <w:bCs/>
          <w:sz w:val="21"/>
          <w:szCs w:val="21"/>
        </w:rPr>
        <w:t xml:space="preserve">um gargalo específico</w:t>
      </w:r>
      <w:r>
        <w:rPr>
          <w:sz w:val="21"/>
          <w:szCs w:val="21"/>
        </w:rPr>
        <w:t xml:space="preserve">: em 2h, a pessoa sai com o passo a passo em andamento pra resolver </w:t>
      </w:r>
      <w:r>
        <w:rPr>
          <w:b/>
          <w:bCs/>
          <w:sz w:val="21"/>
          <w:szCs w:val="21"/>
        </w:rPr>
        <w:t xml:space="preserve">um</w:t>
      </w:r>
      <w:r>
        <w:rPr>
          <w:sz w:val="21"/>
          <w:szCs w:val="21"/>
        </w:rPr>
        <w:t xml:space="preserve"> ponto que está travando o negócio — não é possível resolver vários gargalos numa sessão só. Isso já deixa claro, sem precisar explicar depois, por que resolver </w:t>
      </w:r>
      <w:r>
        <w:rPr>
          <w:b/>
          <w:bCs/>
          <w:sz w:val="21"/>
          <w:szCs w:val="21"/>
        </w:rPr>
        <w:t xml:space="preserve">múltiplos</w:t>
      </w:r>
      <w:r>
        <w:rPr>
          <w:sz w:val="21"/>
          <w:szCs w:val="21"/>
        </w:rPr>
        <w:t xml:space="preserve"> gargalos é o papel do Diagnóstico ou da Mentoria.</w:t>
      </w:r>
    </w:p>
    <w:p>
      <w:pPr>
        <w:spacing w:after="160"/>
      </w:pPr>
      <w:r>
        <w:rPr>
          <w:sz w:val="21"/>
          <w:szCs w:val="21"/>
        </w:rPr>
        <w:t xml:space="preserve">### 2.1 Sessão Estratégica — Executivos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administradora ou imobiliária pelos olhos de quem já liderou as maiores operações do Brasil"</w:t>
      </w:r>
    </w:p>
    <w:p>
      <w:pPr>
        <w:pStyle w:val="ListParagraph"/>
        <w:numPr>
          <w:ilvl w:val="0"/>
          <w:numId w:val="1"/>
        </w:numPr>
        <w:spacing w:after="80"/>
      </w:pPr>
      <w:r>
        <w:rPr>
          <w:sz w:val="21"/>
          <w:szCs w:val="21"/>
        </w:rPr>
        <w:t xml:space="preserve">Subhead: "2 horas com Giuliano Spolavori — +35 anos no mercado imobiliário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pra resolver um dos gargalos que pode estar travando o crescimento da sua administradora ou imobiliária"</w:t>
      </w:r>
    </w:p>
    <w:p>
      <w:pPr>
        <w:pStyle w:val="ListParagraph"/>
        <w:numPr>
          <w:ilvl w:val="0"/>
          <w:numId w:val="1"/>
        </w:numPr>
        <w:spacing w:after="80"/>
      </w:pPr>
      <w:r>
        <w:rPr>
          <w:sz w:val="21"/>
          <w:szCs w:val="21"/>
        </w:rPr>
        <w:t xml:space="preserve">Subhead: "Giuliano Spolavori entende o cenário do seu negócio e já entrega, na própria sessão, o encaminhamento prático pro que for possível resolver nessas 2h. Se a questão pedir mais profundidade, você sai sabendo exatamente se o caminho certo é um Diagnóstico ou uma Mentoria."</w:t>
      </w:r>
    </w:p>
    <w:p>
      <w:pPr>
        <w:spacing w:after="160"/>
      </w:pPr>
      <w:r>
        <w:rPr>
          <w:b/>
          <w:bCs/>
          <w:sz w:val="21"/>
          <w:szCs w:val="21"/>
        </w:rPr>
        <w:t xml:space="preserve">Por quê:</w:t>
      </w:r>
      <w:r>
        <w:rPr>
          <w:sz w:val="21"/>
          <w:szCs w:val="21"/>
        </w:rPr>
        <w:t xml:space="preserve"> troca "enxergar/situar" (vago) por "sair com o passo a passo pra resolver um gargalo" (concreto e delimitado), e deixa claro que Diagnóstico/Mentoria são caminhos condicionais, pra quando há mais de um gargalo a resolver, não o destino padrão de toda sessão.</w:t>
      </w:r>
    </w:p>
    <w:p>
      <w:pPr>
        <w:spacing w:after="160"/>
      </w:pPr>
      <w:r>
        <w:rPr>
          <w:sz w:val="21"/>
          <w:szCs w:val="21"/>
        </w:rPr>
        <w:t xml:space="preserve">### 2.2 Sessão Estratégica — Fornecedores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empresa pelos olhos de quem já esteve do outro lado da mesa nas maiores operações do Brasil"</w:t>
      </w:r>
    </w:p>
    <w:p>
      <w:pPr>
        <w:pStyle w:val="ListParagraph"/>
        <w:numPr>
          <w:ilvl w:val="0"/>
          <w:numId w:val="1"/>
        </w:numPr>
        <w:spacing w:after="80"/>
      </w:pPr>
      <w:r>
        <w:rPr>
          <w:sz w:val="21"/>
          <w:szCs w:val="21"/>
        </w:rPr>
        <w:t xml:space="preserve">Subhead: "2 horas com Giuliano Spolavori — +35 anos contratando e avaliando fornecedores no mercado condominial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pra resolver um dos gargalos que pode estar te impedindo de vender mais pra condomínios"</w:t>
      </w:r>
    </w:p>
    <w:p>
      <w:pPr>
        <w:pStyle w:val="ListParagraph"/>
        <w:numPr>
          <w:ilvl w:val="0"/>
          <w:numId w:val="1"/>
        </w:numPr>
        <w:spacing w:after="80"/>
      </w:pPr>
      <w:r>
        <w:rPr>
          <w:sz w:val="21"/>
          <w:szCs w:val="21"/>
        </w:rPr>
        <w:t xml:space="preserve">Subhead: "Giuliano Spolavori entende o cenário da sua empresa e já entrega, na própria sessão, o encaminhamento prático pro que for possível resolver nessas 2h. Se a questão pedir mais profundidade, você sai sabendo exatamente se o caminho certo é um Diagnóstico ou uma Mentoria."</w:t>
      </w:r>
    </w:p>
    <w:p>
      <w:pPr>
        <w:spacing w:after="160"/>
      </w:pPr>
      <w:r>
        <w:rPr>
          <w:sz w:val="21"/>
          <w:szCs w:val="21"/>
        </w:rPr>
        <w:t xml:space="preserve">### 2.3 Sessão Estratégica — Síndicos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atuação como síndico profissional pelos olhos de quem já geriu +2.200 condomínios"</w:t>
      </w:r>
    </w:p>
    <w:p>
      <w:pPr>
        <w:pStyle w:val="ListParagraph"/>
        <w:numPr>
          <w:ilvl w:val="0"/>
          <w:numId w:val="1"/>
        </w:numPr>
        <w:spacing w:after="80"/>
      </w:pPr>
      <w:r>
        <w:rPr>
          <w:sz w:val="21"/>
          <w:szCs w:val="21"/>
        </w:rPr>
        <w:t xml:space="preserve">Subhead: "2 horas com Giuliano Spolavori — +35 anos no mercado condominial — para situar o momento da sua carteira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pra resolver um dos gargalos que pode estar travando a sua atuação como síndico profissional"</w:t>
      </w:r>
    </w:p>
    <w:p>
      <w:pPr>
        <w:pStyle w:val="ListParagraph"/>
        <w:numPr>
          <w:ilvl w:val="0"/>
          <w:numId w:val="1"/>
        </w:numPr>
        <w:spacing w:after="80"/>
      </w:pPr>
      <w:r>
        <w:rPr>
          <w:sz w:val="21"/>
          <w:szCs w:val="21"/>
        </w:rPr>
        <w:t xml:space="preserve">Subhead: "Giuliano Spolavori entende o cenário da sua carteira e já entrega, na própria sessão, o encaminhamento prático pro que for possível resolver nessas 2h. Se a questão pedir mais profundidade, você sai sabendo exatamente se o caminho certo é um Diagnóstico ou uma Mentoria."</w:t>
      </w:r>
    </w:p>
    <w:p>
      <w:pPr>
        <w:spacing w:after="160"/>
      </w:pPr>
      <w:r>
        <w:rPr>
          <w:sz w:val="21"/>
          <w:szCs w:val="21"/>
        </w:rPr>
        <w:t xml:space="preserve">### 2.4 "Como funciona" — passo 3, nas 3 páginas de Sessão Estratégica</w:t>
      </w:r>
    </w:p>
    <w:p>
      <w:pPr>
        <w:spacing w:after="160"/>
      </w:pPr>
      <w:r>
        <w:rPr>
          <w:b/>
          <w:bCs/>
          <w:sz w:val="21"/>
          <w:szCs w:val="21"/>
        </w:rPr>
        <w:t xml:space="preserve">Como está</w:t>
      </w:r>
      <w:r>
        <w:rPr>
          <w:sz w:val="21"/>
          <w:szCs w:val="21"/>
        </w:rPr>
        <w:t xml:space="preserve"> (mesmo texto nas 3, só troca o termo do público):</w:t>
      </w:r>
    </w:p>
    <w:p>
      <w:pPr>
        <w:pBdr>
          <w:left w:val="single" w:color="cccccc" w:sz="12" w:space="8"/>
        </w:pBdr>
        <w:spacing w:after="120"/>
        <w:ind w:left="400"/>
      </w:pPr>
      <w:r>
        <w:rPr>
          <w:b/>
          <w:bCs/>
          <w:i/>
          <w:iCs/>
          <w:color w:val="333333"/>
          <w:sz w:val="20"/>
          <w:szCs w:val="20"/>
        </w:rPr>
        <w:t xml:space="preserve">Cenários possíveis</w:t>
      </w:r>
      <w:r>
        <w:rPr>
          <w:i/>
          <w:iCs/>
          <w:color w:val="333333"/>
          <w:sz w:val="20"/>
          <w:szCs w:val="20"/>
        </w:rPr>
        <w:t xml:space="preserve"> — Você sai enxergando os caminhos que existem a partir do seu momento — e o que cada um exige. Aprofundar e direcionar é trabalho do Diagnóstico; desenvolvê-lo, da Mentoria.</w:t>
      </w:r>
    </w:p>
    <w:p>
      <w:pPr>
        <w:spacing w:after="160"/>
      </w:pPr>
      <w:r>
        <w:rPr>
          <w:b/>
          <w:bCs/>
          <w:sz w:val="21"/>
          <w:szCs w:val="21"/>
        </w:rPr>
        <w:t xml:space="preserve">Problema:</w:t>
      </w:r>
      <w:r>
        <w:rPr>
          <w:sz w:val="21"/>
          <w:szCs w:val="21"/>
        </w:rPr>
        <w:t xml:space="preserve"> confirma a mesma vaguidão do H1 ("enxergando caminhos") e faz parecer que a sessão só entrega o mapa, empurrando pra outro produto pago em qualquer situação.</w:t>
      </w:r>
    </w:p>
    <w:p>
      <w:pPr>
        <w:spacing w:after="160"/>
      </w:pPr>
      <w:r>
        <w:rPr>
          <w:b/>
          <w:bCs/>
          <w:sz w:val="21"/>
          <w:szCs w:val="21"/>
        </w:rPr>
        <w:t xml:space="preserve">Sugestão</w:t>
      </w:r>
      <w:r>
        <w:rPr>
          <w:sz w:val="21"/>
          <w:szCs w:val="21"/>
        </w:rPr>
        <w:t xml:space="preserve"> (adaptar o público em cada página):</w:t>
      </w:r>
    </w:p>
    <w:p>
      <w:pPr>
        <w:pBdr>
          <w:left w:val="single" w:color="cccccc" w:sz="12" w:space="8"/>
        </w:pBdr>
        <w:spacing w:after="120"/>
        <w:ind w:left="400"/>
      </w:pPr>
      <w:r>
        <w:rPr>
          <w:b/>
          <w:bCs/>
          <w:i/>
          <w:iCs/>
          <w:color w:val="333333"/>
          <w:sz w:val="20"/>
          <w:szCs w:val="20"/>
        </w:rPr>
        <w:t xml:space="preserve">Resolução possível</w:t>
      </w:r>
      <w:r>
        <w:rPr>
          <w:i/>
          <w:iCs/>
          <w:color w:val="333333"/>
          <w:sz w:val="20"/>
          <w:szCs w:val="20"/>
        </w:rPr>
        <w:t xml:space="preserve"> — Você sai da sessão com o encaminhamento prático do que já pode ser resolvido agora [na sua operação / na sua carteira]. Se a questão for mais profunda, Giuliano te orienta se o caminho é o Diagnóstico ou a Mentoria.</w:t>
      </w:r>
    </w:p>
    <w:p>
      <w:pPr>
        <w:spacing w:after="160"/>
      </w:pPr>
      <w:r>
        <w:rPr>
          <w:sz w:val="21"/>
          <w:szCs w:val="21"/>
        </w:rPr>
        <w:t xml:space="preserve">### 2.5 R$700 por 2h está alinhado ao valor de mercado?</w:t>
      </w:r>
    </w:p>
    <w:p>
      <w:pPr>
        <w:spacing w:after="160"/>
      </w:pPr>
      <w:r>
        <w:rPr>
          <w:b/>
          <w:bCs/>
          <w:sz w:val="21"/>
          <w:szCs w:val="21"/>
        </w:rPr>
        <w:t xml:space="preserve">Ressalva importante:</w:t>
      </w:r>
      <w:r>
        <w:rPr>
          <w:sz w:val="21"/>
          <w:szCs w:val="21"/>
        </w:rPr>
        <w:t xml:space="preserve"> esta análise é baseada em raciocínio de mercado geral sobre consultoria B2B no Brasil, não em pesquisa de concorrentes em tempo real (não há acesso à internet neste ambiente para benchmark direto). Deve ser tratada como hipótese a validar, não como dado de mercado confirmado.</w:t>
      </w:r>
    </w:p>
    <w:p>
      <w:pPr>
        <w:spacing w:after="80"/>
      </w:pPr>
      <w:r>
        <w:rPr>
          <w:i/>
          <w:iCs/>
          <w:color w:val="555555"/>
          <w:sz w:val="18"/>
          <w:szCs w:val="18"/>
        </w:rPr>
        <w:t xml:space="preserve">Por persona:</w:t>
      </w:r>
    </w:p>
    <w:p>
      <w:pPr>
        <w:spacing w:after="160"/>
      </w:pPr>
      <w:r>
        <w:rPr>
          <w:sz w:val="21"/>
          <w:szCs w:val="21"/>
        </w:rPr>
        <w:t xml:space="preserve">Nos três casos, o público é dono de empresa (não profissional autônomo), mas o </w:t>
      </w:r>
      <w:r>
        <w:rPr>
          <w:b/>
          <w:bCs/>
          <w:sz w:val="21"/>
          <w:szCs w:val="21"/>
        </w:rPr>
        <w:t xml:space="preserve">porte e a capitalização da empresa variam bastante entre as personas</w:t>
      </w:r>
      <w:r>
        <w:rPr>
          <w:sz w:val="21"/>
          <w:szCs w:val="21"/>
        </w:rPr>
        <w:t xml:space="preserve"> — isso é o que sustenta a diferença de sensibilidade a preço abaixo, não uma diferença entre "pessoa física" e "empresa".</w:t>
      </w:r>
    </w:p>
    <w:p>
      <w:pPr>
        <w:pStyle w:val="ListParagraph"/>
        <w:numPr>
          <w:ilvl w:val="0"/>
          <w:numId w:val="1"/>
        </w:numPr>
        <w:spacing w:after="80"/>
      </w:pPr>
      <w:r>
        <w:rPr>
          <w:b/>
          <w:bCs/>
          <w:sz w:val="21"/>
          <w:szCs w:val="21"/>
        </w:rPr>
        <w:t xml:space="preserve">Executivos (donos de administradora/imobiliária):</w:t>
      </w:r>
      <w:r>
        <w:rPr>
          <w:sz w:val="21"/>
          <w:szCs w:val="21"/>
        </w:rPr>
        <w:t xml:space="preserve"> R$700 por 2h com um profissional com 35 anos de mercado e mais de 20 operações de M&amp;A está dentro, ou até abaixo, do que consultoria estratégica sênior costuma cobrar no Brasil (consultores seniores e especialistas em M&amp;A frequentemente cobram na faixa de R$300 a R$800+ por hora). Administradoras e imobiliárias tendem a ser empresas de maior porte e faturamento entre as três personas, então esse público tem, em média, o maior poder aquisitivo pra decidir rápido. O valor tende a ser bem recebido, e talvez até esteja subprecificado frente ao mercado.</w:t>
      </w:r>
    </w:p>
    <w:p>
      <w:pPr>
        <w:pStyle w:val="ListParagraph"/>
        <w:numPr>
          <w:ilvl w:val="0"/>
          <w:numId w:val="1"/>
        </w:numPr>
        <w:spacing w:after="80"/>
      </w:pPr>
      <w:r>
        <w:rPr>
          <w:b/>
          <w:bCs/>
          <w:sz w:val="21"/>
          <w:szCs w:val="21"/>
        </w:rPr>
        <w:t xml:space="preserve">Empresas de síndico profissional:</w:t>
      </w:r>
      <w:r>
        <w:rPr>
          <w:sz w:val="21"/>
          <w:szCs w:val="21"/>
        </w:rPr>
        <w:t xml:space="preserve"> público mais sensível a preço que o executivo, mesmo sendo dono de empresa também. O porte varia muito com o tamanho da carteira de condomínios atendidos: uma empresa de síndico já consolidada, com carteira grande e funcionários, tende a ver R$700 como investimento pequeno frente ao retorno possível; uma empresa ainda pequena (carteira de 1 a 3 condomínios) pode achar alto para uma decisão isolada, principalmente já existindo o curso de R$297 como porta de entrada mais barata. O risco é filtrar só as empresas de síndico já mais consolidadas — o que não é necessariamente um problema (é público mais qualificado), mas reduz o volume de quem chega à sessão.</w:t>
      </w:r>
    </w:p>
    <w:p>
      <w:pPr>
        <w:pStyle w:val="ListParagraph"/>
        <w:numPr>
          <w:ilvl w:val="0"/>
          <w:numId w:val="1"/>
        </w:numPr>
        <w:spacing w:after="80"/>
      </w:pPr>
      <w:r>
        <w:rPr>
          <w:b/>
          <w:bCs/>
          <w:sz w:val="21"/>
          <w:szCs w:val="21"/>
        </w:rPr>
        <w:t xml:space="preserve">Empresas fornecedoras e prestadoras de serviço para condomínios:</w:t>
      </w:r>
      <w:r>
        <w:rPr>
          <w:sz w:val="21"/>
          <w:szCs w:val="21"/>
        </w:rPr>
        <w:t xml:space="preserve"> público heterogêneo, de operação pequena/local a empresa regional maior, geralmente com poder aquisitivo mais próximo do das empresas de síndico do que do das administradoras/imobiliárias. Uma empresa fornecedora pequena pode hesitar em pagar R$700 sem prova de retorno anterior; uma já vendendo em escala B2B tende a ver isso como custo baixo frente ao ticket de um contrato que pode fechar depois.</w:t>
      </w:r>
    </w:p>
    <w:p>
      <w:pPr>
        <w:spacing w:after="160"/>
      </w:pPr>
      <w:r>
        <w:rPr>
          <w:b/>
          <w:bCs/>
          <w:sz w:val="21"/>
          <w:szCs w:val="21"/>
        </w:rPr>
        <w:t xml:space="preserve">Conclusão e recomendação:</w:t>
      </w:r>
      <w:r>
        <w:rPr>
          <w:sz w:val="21"/>
          <w:szCs w:val="21"/>
        </w:rPr>
        <w:t xml:space="preserve"> o preço parece bem calibrado para executivos (maior poder aquisitivo médio entre as três personas), e arriscado, não necessariamente errado, mas não comprovado, para as empresas de síndico e de fornecimento de menor porte. Sugiro monitorar a taxa de conversão por persona nas primeiras semanas de venda. Se essas duas personas converterem muito abaixo do executivo, vale considerar uma oferta diferenciada por segmento (por exemplo, facilidades de pagamento específicas, ou uma versão de sessão mais curta e com ticket menor), em vez de manter um preço único para os três desde o início.</w:t>
      </w:r>
    </w:p>
    <w:p>
      <w:pPr>
        <w:pBdr>
          <w:bottom w:val="single" w:color="cccccc" w:sz="6" w:space="4"/>
        </w:pBdr>
        <w:spacing w:after="200"/>
      </w:pPr>
    </w:p>
    <w:p>
      <w:pPr>
        <w:pStyle w:val="Heading2"/>
        <w:spacing w:after="150" w:before="300"/>
      </w:pPr>
      <w:r>
        <w:t xml:space="preserve">3. Diagnóstico — pequenos ajustes de copy (estrutura já está boa)</w:t>
      </w:r>
    </w:p>
    <w:p>
      <w:pPr>
        <w:spacing w:after="160"/>
      </w:pPr>
      <w:r>
        <w:rPr>
          <w:sz w:val="21"/>
          <w:szCs w:val="21"/>
        </w:rPr>
        <w:t xml:space="preserve">A estrutura do Diagnóstico (H1 → por que fazer → como funciona → método em 5 etapas → o que você leva → prova social → próximo passo (Mentoria 8S) → FAQ → preço) já entrega uma promessa clara e concreta. Não recomendo mudar a estrutura, só 1 ponto:</w:t>
      </w:r>
    </w:p>
    <w:p>
      <w:pPr>
        <w:spacing w:after="160"/>
      </w:pPr>
      <w:r>
        <w:rPr>
          <w:b/>
          <w:bCs/>
          <w:sz w:val="21"/>
          <w:szCs w:val="21"/>
        </w:rPr>
        <w:t xml:space="preserve">Nota sobre o termo "sua empresa de síndico":</w:t>
      </w:r>
      <w:r>
        <w:rPr>
          <w:sz w:val="21"/>
          <w:szCs w:val="21"/>
        </w:rPr>
        <w:t xml:space="preserve"> esse termo está correto e não precisa de ajuste — o público dessa persona é o dono de empresa que presta serviço de síndico profissional (com CNPJ, podendo ter funcionário), não o síndico autônomo pessoa física. Terminologia mantida como está.</w:t>
      </w:r>
    </w:p>
    <w:p>
      <w:pPr>
        <w:spacing w:after="160"/>
      </w:pPr>
      <w:r>
        <w:rPr>
          <w:sz w:val="21"/>
          <w:szCs w:val="21"/>
        </w:rPr>
        <w:t xml:space="preserve">### 3.1 Fornecedores — link duplicando "para"</w:t>
      </w:r>
    </w:p>
    <w:p>
      <w:pPr>
        <w:spacing w:after="160"/>
      </w:pPr>
      <w:r>
        <w:rPr>
          <w:b/>
          <w:bCs/>
          <w:sz w:val="21"/>
          <w:szCs w:val="21"/>
        </w:rPr>
        <w:t xml:space="preserve">Como está:</w:t>
      </w:r>
      <w:r>
        <w:rPr>
          <w:sz w:val="21"/>
          <w:szCs w:val="21"/>
        </w:rPr>
        <w:t xml:space="preserve"> "Saiba mais sobre a Mentoria 8S para Fornecedores </w:t>
      </w:r>
      <w:r>
        <w:rPr>
          <w:b/>
          <w:bCs/>
          <w:sz w:val="21"/>
          <w:szCs w:val="21"/>
        </w:rPr>
        <w:t xml:space="preserve">para</w:t>
      </w:r>
      <w:r>
        <w:rPr>
          <w:sz w:val="21"/>
          <w:szCs w:val="21"/>
        </w:rPr>
        <w:t xml:space="preserve"> Condomínios →"</w:t>
      </w:r>
    </w:p>
    <w:p>
      <w:pPr>
        <w:spacing w:after="160"/>
      </w:pPr>
      <w:r>
        <w:rPr>
          <w:b/>
          <w:bCs/>
          <w:sz w:val="21"/>
          <w:szCs w:val="21"/>
        </w:rPr>
        <w:t xml:space="preserve">Sugestão:</w:t>
      </w:r>
      <w:r>
        <w:rPr>
          <w:sz w:val="21"/>
          <w:szCs w:val="21"/>
        </w:rPr>
        <w:t xml:space="preserve"> "Saiba mais sobre a Mentoria 8S para Fornecedores </w:t>
      </w:r>
      <w:r>
        <w:rPr>
          <w:b/>
          <w:bCs/>
          <w:sz w:val="21"/>
          <w:szCs w:val="21"/>
        </w:rPr>
        <w:t xml:space="preserve">de</w:t>
      </w:r>
      <w:r>
        <w:rPr>
          <w:sz w:val="21"/>
          <w:szCs w:val="21"/>
        </w:rPr>
        <w:t xml:space="preserve"> Condomínios →"</w:t>
      </w:r>
    </w:p>
    <w:p>
      <w:pPr>
        <w:pBdr>
          <w:bottom w:val="single" w:color="cccccc" w:sz="6" w:space="4"/>
        </w:pBdr>
        <w:spacing w:after="200"/>
      </w:pPr>
    </w:p>
    <w:p>
      <w:pPr>
        <w:pStyle w:val="Heading2"/>
        <w:spacing w:after="150" w:before="300"/>
      </w:pPr>
      <w:r>
        <w:t xml:space="preserve">4. O que já está funcionando bem no Diagnóstico (referência a manter)</w:t>
      </w:r>
    </w:p>
    <w:p>
      <w:pPr>
        <w:pStyle w:val="ListParagraph"/>
        <w:numPr>
          <w:ilvl w:val="0"/>
          <w:numId w:val="1"/>
        </w:numPr>
        <w:spacing w:after="80"/>
      </w:pPr>
      <w:r>
        <w:rPr>
          <w:sz w:val="21"/>
          <w:szCs w:val="21"/>
        </w:rPr>
        <w:t xml:space="preserve">H1 direto ao ponto ("Descubra o que trava o crescimento... em duas sessões")</w:t>
      </w:r>
    </w:p>
    <w:p>
      <w:pPr>
        <w:pStyle w:val="ListParagraph"/>
        <w:numPr>
          <w:ilvl w:val="0"/>
          <w:numId w:val="1"/>
        </w:numPr>
        <w:spacing w:after="80"/>
      </w:pPr>
      <w:r>
        <w:rPr>
          <w:sz w:val="21"/>
          <w:szCs w:val="21"/>
        </w:rPr>
        <w:t xml:space="preserve">Os 4 cards de "por que fazer" são específicos, não genéricos (Diagnóstico Exclusivo, Alavanca Prioritária, Direção para Agir, Experiência Comprovada)</w:t>
      </w:r>
    </w:p>
    <w:p>
      <w:pPr>
        <w:pStyle w:val="ListParagraph"/>
        <w:numPr>
          <w:ilvl w:val="0"/>
          <w:numId w:val="1"/>
        </w:numPr>
        <w:spacing w:after="80"/>
      </w:pPr>
      <w:r>
        <w:rPr>
          <w:sz w:val="21"/>
          <w:szCs w:val="21"/>
        </w:rPr>
        <w:t xml:space="preserve">"O que você leva" lista 5 entregáveis concretos, incluindo o Plano de Direcionamento por escrito</w:t>
      </w:r>
    </w:p>
    <w:p>
      <w:pPr>
        <w:pStyle w:val="ListParagraph"/>
        <w:numPr>
          <w:ilvl w:val="0"/>
          <w:numId w:val="1"/>
        </w:numPr>
        <w:spacing w:after="80"/>
      </w:pPr>
      <w:r>
        <w:rPr>
          <w:sz w:val="21"/>
          <w:szCs w:val="21"/>
        </w:rPr>
        <w:t xml:space="preserve">Preço transparente na própria página (R$3.950, parcelamento, o que está incluso)</w:t>
      </w:r>
    </w:p>
    <w:p>
      <w:pPr>
        <w:pStyle w:val="ListParagraph"/>
        <w:numPr>
          <w:ilvl w:val="0"/>
          <w:numId w:val="1"/>
        </w:numPr>
        <w:spacing w:after="80"/>
      </w:pPr>
      <w:r>
        <w:rPr>
          <w:sz w:val="21"/>
          <w:szCs w:val="21"/>
        </w:rPr>
        <w:t xml:space="preserve">FAQ antecipa objeções reais (funciona pra qualquer porte? é igual à Mentoria? como fica a confidencialidade?)</w:t>
      </w:r>
    </w:p>
    <w:p>
      <w:pPr>
        <w:pStyle w:val="ListParagraph"/>
        <w:numPr>
          <w:ilvl w:val="0"/>
          <w:numId w:val="1"/>
        </w:numPr>
        <w:spacing w:after="80"/>
      </w:pPr>
      <w:r>
        <w:rPr>
          <w:sz w:val="21"/>
          <w:szCs w:val="21"/>
        </w:rPr>
        <w:t xml:space="preserve">Deixa claro que o Diagnóstico não é consultoria nem mentoria, e que o valor pago é 100% creditado se avançar pra Mentoria 8S em até 30 dias — remove o medo de "pagar duas vezes"</w:t>
      </w:r>
    </w:p>
    <w:p>
      <w:pPr>
        <w:spacing w:after="160"/>
      </w:pPr>
      <w:r>
        <w:rPr>
          <w:sz w:val="21"/>
          <w:szCs w:val="21"/>
        </w:rPr>
        <w:t xml:space="preserve">Essa é a régua de clareza que a Sessão Estratégica precisa alcançar, e a sugestão da seção 2 foi desenhada pra chegar nesse mesmo padrão.</w:t>
      </w:r>
    </w:p>
    <w:p>
      <w:pPr>
        <w:pBdr>
          <w:bottom w:val="single" w:color="cccccc" w:sz="6" w:space="4"/>
        </w:pBdr>
        <w:spacing w:after="200"/>
      </w:pPr>
    </w:p>
    <w:p>
      <w:pPr>
        <w:pStyle w:val="Heading2"/>
        <w:spacing w:after="150" w:before="300"/>
      </w:pPr>
      <w:r>
        <w:t xml:space="preserve">5. Ajuste no destino do botão de Agendar (Sessão Estratégica e Diagnóstico)</w:t>
      </w:r>
    </w:p>
    <w:p>
      <w:pPr>
        <w:spacing w:after="160"/>
      </w:pPr>
      <w:r>
        <w:rPr>
          <w:b/>
          <w:bCs/>
          <w:sz w:val="21"/>
          <w:szCs w:val="21"/>
        </w:rPr>
        <w:t xml:space="preserve">Como está hoje:</w:t>
      </w:r>
      <w:r>
        <w:rPr>
          <w:sz w:val="21"/>
          <w:szCs w:val="21"/>
        </w:rPr>
        <w:t xml:space="preserve"> o botão "Agendar minha Sessão Estratégica" (e o equivalente nas páginas de Diagnóstico) leva direto para o WhatsApp do comercial (Jessie).</w:t>
      </w:r>
    </w:p>
    <w:p>
      <w:pPr>
        <w:spacing w:after="160"/>
      </w:pPr>
      <w:r>
        <w:rPr>
          <w:b/>
          <w:bCs/>
          <w:sz w:val="21"/>
          <w:szCs w:val="21"/>
        </w:rPr>
        <w:t xml:space="preserve">Mudança em andamento:</w:t>
      </w:r>
      <w:r>
        <w:rPr>
          <w:sz w:val="21"/>
          <w:szCs w:val="21"/>
        </w:rPr>
        <w:t xml:space="preserve"> a Amanda vai criar as ofertas de Sessão Estratégica dentro da Hotmart. A partir disso, esse botão passa a levar direto para o checkout de pagamento na Hotmart, em vez do WhatsApp.</w:t>
      </w:r>
    </w:p>
    <w:p>
      <w:pPr>
        <w:spacing w:after="160"/>
      </w:pPr>
      <w:r>
        <w:rPr>
          <w:b/>
          <w:bCs/>
          <w:sz w:val="21"/>
          <w:szCs w:val="21"/>
        </w:rPr>
        <w:t xml:space="preserve">O que continua igual:</w:t>
      </w:r>
      <w:r>
        <w:rPr>
          <w:sz w:val="21"/>
          <w:szCs w:val="21"/>
        </w:rPr>
        <w:t xml:space="preserve"> o botão de WhatsApp flutuante (que já existe fixo na tela) continua direcionando para a Jessie normalmente.</w:t>
      </w:r>
    </w:p>
    <w:p>
      <w:pPr>
        <w:spacing w:after="160"/>
      </w:pPr>
      <w:r>
        <w:rPr>
          <w:b/>
          <w:bCs/>
          <w:sz w:val="21"/>
          <w:szCs w:val="21"/>
        </w:rPr>
        <w:t xml:space="preserve">Melhoria possível:</w:t>
      </w:r>
      <w:r>
        <w:rPr>
          <w:sz w:val="21"/>
          <w:szCs w:val="21"/>
        </w:rPr>
        <w:t xml:space="preserve"> depois que a pessoa preencher o formulário ("se preferir, preencha o formulário e entraremos em contato"), pode aparecer também um botão de WhatsApp levando direto pra conversa com a Jessie, em vez de só ficar esperando o retorno.</w:t>
      </w:r>
    </w:p>
    <w:p>
      <w:pPr>
        <w:pBdr>
          <w:bottom w:val="single" w:color="cccccc" w:sz="6" w:space="4"/>
        </w:pBdr>
        <w:spacing w:after="200"/>
      </w:pPr>
    </w:p>
    <w:p>
      <w:pPr>
        <w:pStyle w:val="Heading2"/>
        <w:spacing w:after="150" w:before="300"/>
      </w:pPr>
      <w:r>
        <w:t xml:space="preserve">6. Sugestão adicional: alternativa pra quem ainda não tem R$700 (só síndico e fornecedor)</w:t>
      </w:r>
    </w:p>
    <w:p>
      <w:pPr>
        <w:spacing w:after="160"/>
      </w:pPr>
      <w:r>
        <w:rPr>
          <w:b/>
          <w:bCs/>
          <w:sz w:val="21"/>
          <w:szCs w:val="21"/>
        </w:rPr>
        <w:t xml:space="preserve">De onde vem:</w:t>
      </w:r>
      <w:r>
        <w:rPr>
          <w:sz w:val="21"/>
          <w:szCs w:val="21"/>
        </w:rPr>
        <w:t xml:space="preserve"> direto da análise de preço da seção 2.5 — nas páginas de síndico e fornecedor, parte de quem chegar até a Sessão Estratégica pode não ter, hoje, os R$700 disponíveis pra decidir. Sem alternativa, esse lead se perde. Como já existe curso de entrada pras duas personas, dá pra reaproveitar essa oferta como rede de segurança na própria página, em vez de deixar a pessoa ir embora sem nada.</w:t>
      </w:r>
    </w:p>
    <w:p>
      <w:pPr>
        <w:spacing w:after="160"/>
      </w:pPr>
      <w:r>
        <w:rPr>
          <w:b/>
          <w:bCs/>
          <w:sz w:val="21"/>
          <w:szCs w:val="21"/>
        </w:rPr>
        <w:t xml:space="preserve">Onde inserir:</w:t>
      </w:r>
      <w:r>
        <w:rPr>
          <w:sz w:val="21"/>
          <w:szCs w:val="21"/>
        </w:rPr>
        <w:t xml:space="preserve"> logo após o bloco de preço da Sessão Estratégica, só nas páginas de </w:t>
      </w:r>
      <w:r>
        <w:rPr>
          <w:b/>
          <w:bCs/>
          <w:sz w:val="21"/>
          <w:szCs w:val="21"/>
        </w:rPr>
        <w:t xml:space="preserve">síndico</w:t>
      </w:r>
      <w:r>
        <w:rPr>
          <w:sz w:val="21"/>
          <w:szCs w:val="21"/>
        </w:rPr>
        <w:t xml:space="preserve"> e </w:t>
      </w:r>
      <w:r>
        <w:rPr>
          <w:b/>
          <w:bCs/>
          <w:sz w:val="21"/>
          <w:szCs w:val="21"/>
        </w:rPr>
        <w:t xml:space="preserve">fornecedor</w:t>
      </w:r>
      <w:r>
        <w:rPr>
          <w:sz w:val="21"/>
          <w:szCs w:val="21"/>
        </w:rPr>
        <w:t xml:space="preserve"> (o executivo não tem curso próprio, então essa seção não se aplica a ele, mantém a página como está).</w:t>
      </w:r>
    </w:p>
    <w:p>
      <w:pPr>
        <w:spacing w:after="80"/>
      </w:pPr>
      <w:r>
        <w:rPr>
          <w:i/>
          <w:iCs/>
          <w:color w:val="555555"/>
          <w:sz w:val="18"/>
          <w:szCs w:val="18"/>
        </w:rPr>
        <w:t xml:space="preserve">Sugestão de texto (síndico):</w:t>
      </w:r>
    </w:p>
    <w:p>
      <w:pPr>
        <w:pBdr>
          <w:left w:val="single" w:color="cccccc" w:sz="12" w:space="8"/>
        </w:pBdr>
        <w:spacing w:after="120"/>
        <w:ind w:left="400"/>
      </w:pPr>
      <w:r>
        <w:rPr>
          <w:b/>
          <w:bCs/>
          <w:i/>
          <w:iCs/>
          <w:color w:val="333333"/>
          <w:sz w:val="20"/>
          <w:szCs w:val="20"/>
        </w:rPr>
        <w:t xml:space="preserve">Ainda não é o momento pra Sessão Estratégica?</w:t>
      </w:r>
    </w:p>
    <w:p>
      <w:pPr>
        <w:pBdr>
          <w:left w:val="single" w:color="cccccc" w:sz="12" w:space="8"/>
        </w:pBdr>
        <w:spacing w:after="120"/>
        <w:ind w:left="400"/>
      </w:pPr>
      <w:r>
        <w:rPr>
          <w:i/>
          <w:iCs/>
          <w:color w:val="333333"/>
          <w:sz w:val="20"/>
          <w:szCs w:val="20"/>
        </w:rPr>
        <w:t xml:space="preserve">Se o investimento ainda não faz sentido pro momento da sua empresa, comece pelo Curso Avançado para Síndico Profissional, por R$297. Quando estiver pronto pra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Avançado para Síndico Profissional →] (leva pro checkout do curso na Hotmart)</w:t>
      </w:r>
    </w:p>
    <w:p>
      <w:pPr>
        <w:spacing w:after="80"/>
      </w:pPr>
      <w:r>
        <w:rPr>
          <w:i/>
          <w:iCs/>
          <w:color w:val="555555"/>
          <w:sz w:val="18"/>
          <w:szCs w:val="18"/>
        </w:rPr>
        <w:t xml:space="preserve">Sugestão de texto (fornecedor):</w:t>
      </w:r>
    </w:p>
    <w:p>
      <w:pPr>
        <w:pBdr>
          <w:left w:val="single" w:color="cccccc" w:sz="12" w:space="8"/>
        </w:pBdr>
        <w:spacing w:after="120"/>
        <w:ind w:left="400"/>
      </w:pPr>
      <w:r>
        <w:rPr>
          <w:b/>
          <w:bCs/>
          <w:i/>
          <w:iCs/>
          <w:color w:val="333333"/>
          <w:sz w:val="20"/>
          <w:szCs w:val="20"/>
        </w:rPr>
        <w:t xml:space="preserve">Ainda não é o momento pra Sessão Estratégica?</w:t>
      </w:r>
    </w:p>
    <w:p>
      <w:pPr>
        <w:pBdr>
          <w:left w:val="single" w:color="cccccc" w:sz="12" w:space="8"/>
        </w:pBdr>
        <w:spacing w:after="120"/>
        <w:ind w:left="400"/>
      </w:pPr>
      <w:r>
        <w:rPr>
          <w:i/>
          <w:iCs/>
          <w:color w:val="333333"/>
          <w:sz w:val="20"/>
          <w:szCs w:val="20"/>
        </w:rPr>
        <w:t xml:space="preserve">Se o investimento ainda não faz sentido pro momento da sua empresa, comece pelo curso Aprenda a Multiplicar Vendas para Condomínios, por R$297. Quando estiver pronto pra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Aprenda a Multiplicar Vendas para Condomínios →] (leva pro checkout do curso na Hotmart)</w:t>
      </w:r>
    </w:p>
    <w:p>
      <w:pPr>
        <w:spacing w:after="160"/>
      </w:pPr>
      <w:r>
        <w:rPr>
          <w:b/>
          <w:bCs/>
          <w:sz w:val="21"/>
          <w:szCs w:val="21"/>
        </w:rPr>
        <w:t xml:space="preserve">Por que funciona:</w:t>
      </w:r>
      <w:r>
        <w:rPr>
          <w:sz w:val="21"/>
          <w:szCs w:val="21"/>
        </w:rPr>
        <w:t xml:space="preserve"> não é desconto disfarçado nem depreciação do produto principal — é uma segunda oferta, com produto e preço diferentes, pra quem realmente ainda não está no momento de pagar R$700. Quem compra o curso continua na base e pode ser trabalhado depois (e-mail, comunidade, redes) até estar pronto pra Sessão Estratégica, Diagnóstico ou Mentoria.</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2026-09-09T18:12:47.735Z</dcterms:created>
  <dcterms:modified xsi:type="dcterms:W3CDTF">2026-09-09T18:12:47.735Z</dcterms:modified>
</cp:coreProperties>
</file>

<file path=docProps/custom.xml><?xml version="1.0" encoding="utf-8"?>
<Properties xmlns="http://schemas.openxmlformats.org/officeDocument/2006/custom-properties" xmlns:vt="http://schemas.openxmlformats.org/officeDocument/2006/docPropsVTypes"/>
</file>