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35C"/>
        </w:rPr>
        <w:t>Diagnóstico Estratégico — Strategia Síndicos Profissionais</w:t>
      </w:r>
    </w:p>
    <w:p>
      <w:r>
        <w:rPr>
          <w:b/>
        </w:rPr>
        <w:t>RECRIA Marketing • 23/06/2026</w:t>
      </w:r>
    </w:p>
    <w:p>
      <w:r>
        <w:rPr>
          <w:b/>
        </w:rPr>
        <w:t>Serviços contratados:</w:t>
      </w:r>
      <w:r>
        <w:t xml:space="preserve"> Social media (2 posts/semana + extras em datas comemorativas), peças via Webflow, LP (em construção), gestão de tráfego pago Google + Meta (incluída na mensalidade), comercial terceirizado (SDR/BDR), ManyChat</w:t>
      </w:r>
    </w:p>
    <w:p>
      <w:pPr>
        <w:pStyle w:val="Heading1"/>
      </w:pPr>
      <w:r>
        <w:rPr>
          <w:color w:val="16335C"/>
        </w:rPr>
        <w:t>1. Resumo do Negócio</w:t>
      </w:r>
    </w:p>
    <w:p>
      <w:r>
        <w:t>A Strategia é uma empresa de síndicos profissionais de Porto Alegre, com 11 anos de mercado (fundada em 2015) e 5 sócios (2 fundadores + 3 que entraram depois). Atuam gerindo condomínios residenciais e comerciais, com contratos anuais renovados (ou não) em assembleia de fim de ano — o que torna a manutenção de relacionamento e prova de valor ao longo do ano tão importante quanto a captação de clientes novos.</w:t>
      </w:r>
    </w:p>
    <w:p>
      <w:r>
        <w:t>A empresa cresceu, ao longo de toda a sua história, apenas por indicação e prospecção ativa dos próprios sócios — nunca teve comercial nem marketing estruturado. O Instagram, sob a agência anterior, era puramente institucional (datas comemorativas genéricas), sem qualquer viés de conversão. A entrada da RECRIA marca a primeira tentativa real de profissionalizar aquisição de clientes, com social media estratégico, LP, tráfego pago e um comercial dedicado (SDR/BDR).</w:t>
      </w:r>
    </w:p>
    <w:p>
      <w:r>
        <w:t>A operação está, neste momento, numa fase de transição: migrando da agência anterior (Fator) para a RECRIA, com o tráfego pago pausado aguardando a liberação do domínio atual (pré-requisito técnico para subir a nova LP sem quebrar e-mail e outras ferramentas already vinculadas). Isso significa que o funil de aquisição ainda não está rodando de fato — o trabalho dos próximos 30 dias é destravar essa transição, não otimizar campanha.</w:t>
      </w:r>
    </w:p>
    <w:p>
      <w:pPr>
        <w:pStyle w:val="Heading1"/>
      </w:pPr>
      <w:r>
        <w:rPr>
          <w:color w:val="16335C"/>
        </w:rPr>
        <w:t>2. Divergências e complementos entre respondentes</w:t>
      </w:r>
    </w:p>
    <w:p>
      <w:r>
        <w:t>Não aplicável — questionário respondido por uma única fonte (RECRIA, relatando contexto consolidado do cliente). Recomenda-se, quando possível, validar diretamente com os sócios da Strategia os pontos de fraqueza interna e a meta numérica, que hoje vêm de uma leitura externa da agência.</w:t>
      </w:r>
    </w:p>
    <w:p>
      <w:pPr>
        <w:pStyle w:val="Heading1"/>
      </w:pPr>
      <w:r>
        <w:rPr>
          <w:color w:val="16335C"/>
        </w:rPr>
        <w:t>3. Forças</w:t>
      </w:r>
    </w:p>
    <w:p>
      <w:pPr>
        <w:pStyle w:val="ListBullet"/>
      </w:pPr>
      <w:r>
        <w:t>Autoridade já reconhecida no mercado de Porto Alegre — mais de uma década de atuação.</w:t>
      </w:r>
    </w:p>
    <w:p>
      <w:pPr>
        <w:pStyle w:val="ListBullet"/>
      </w:pPr>
      <w:r>
        <w:t>Atuação versátil: atendem tanto condomínios residenciais quanto comerciais, ampliando o público endereçável.</w:t>
      </w:r>
    </w:p>
    <w:p>
      <w:pPr>
        <w:pStyle w:val="ListBullet"/>
      </w:pPr>
      <w:r>
        <w:t>Já têm ManyChat instalado e em uso, o que reduz o atrito técnico pra rodar campanhas de engajamento com qualificação automatizada.</w:t>
      </w:r>
    </w:p>
    <w:p>
      <w:pPr>
        <w:pStyle w:val="ListBullet"/>
      </w:pPr>
      <w:r>
        <w:t>Já têm comercial dedicado (Jessie, SDR/BDR) atuando em três frentes: prospecção ativa, reativação de propostas antigas não fechadas, e atendimento de leads de campanha.</w:t>
      </w:r>
    </w:p>
    <w:p>
      <w:pPr>
        <w:pStyle w:val="ListBullet"/>
      </w:pPr>
      <w:r>
        <w:t>Estrutura de custo de aquisição relativamente baixa frente ao ticket recorrente (ver seção 8).</w:t>
      </w:r>
    </w:p>
    <w:p>
      <w:pPr>
        <w:pStyle w:val="Heading1"/>
      </w:pPr>
      <w:r>
        <w:rPr>
          <w:color w:val="16335C"/>
        </w:rPr>
        <w:t>4. Fraquezas</w:t>
      </w:r>
    </w:p>
    <w:p>
      <w:r>
        <w:rPr>
          <w:i/>
          <w:color w:val="444441"/>
        </w:rPr>
        <w:t>(Uso interno da agência — orienta o tom e o cuidado da comunicação, não deve ser usado em copy externa)</w:t>
      </w:r>
    </w:p>
    <w:p>
      <w:pPr>
        <w:pStyle w:val="ListBullet"/>
      </w:pPr>
      <w:r>
        <w:t>Operação internamente desorganizada; baixo uso de IA, ferramentas e software de gestão e de atendimento.</w:t>
      </w:r>
    </w:p>
    <w:p>
      <w:pPr>
        <w:pStyle w:val="ListBullet"/>
      </w:pPr>
      <w:r>
        <w:t>Demora no retorno a condôminos em pelo menos um dos sócios — risco direto de não-renovação se não for endereçado, já que a decisão de continuidade é anual e passa por assembleia.</w:t>
      </w:r>
    </w:p>
    <w:p>
      <w:pPr>
        <w:pStyle w:val="ListBullet"/>
      </w:pPr>
      <w:r>
        <w:t>Os sócios são tecnicamente bons síndicos, mas ainda estão em transição para pensar como donos/gestores do próprio negócio — lacuna que a consultoria com a Eleva está endereçando em paralelo ao trabalho da RECRIA.</w:t>
      </w:r>
    </w:p>
    <w:p>
      <w:pPr>
        <w:pStyle w:val="ListBullet"/>
      </w:pPr>
      <w:r>
        <w:t>Histórico de zero estrutura comercial/marketing significa que processos de qualificação, follow-up e nutrição de lead são recentes e ainda não validados na prática (o tráfego pago, inclusive, nunca chegou a rodar com LP e formulário — sempre foi lead desqualificado direto pro WhatsApp).</w:t>
      </w:r>
    </w:p>
    <w:p>
      <w:pPr>
        <w:pStyle w:val="ListBullet"/>
      </w:pPr>
      <w:r>
        <w:t>Sem CRM: toda a gestão comercial e operacional vive em planilha, sem follow-up estruturado. A própria respondente descreve a situação como "um caos" — em reorganização conjunta via RECRIA (marketing/comercial), Jessie (execução comercial) e consultoria Eleva (gestão/posicionamento).</w:t>
      </w:r>
    </w:p>
    <w:p>
      <w:pPr>
        <w:pStyle w:val="Heading1"/>
      </w:pPr>
      <w:r>
        <w:rPr>
          <w:color w:val="16335C"/>
        </w:rPr>
        <w:t>5. Oportunidades</w:t>
      </w:r>
    </w:p>
    <w:p>
      <w:pPr>
        <w:pStyle w:val="ListBullet"/>
      </w:pPr>
      <w:r>
        <w:t>Parceria com construtoras e imobiliárias — cada parceria fechada multiplica o número de condomínios conquistados de uma vez, ao invés de fechar prédio por prédio. Não é foco imediato, mas é a frente de maior potencial de escala a médio prazo.</w:t>
      </w:r>
    </w:p>
    <w:p>
      <w:pPr>
        <w:pStyle w:val="ListBullet"/>
      </w:pPr>
      <w:r>
        <w:t>Campanhas de engajamento via ManyChat (mais baratas que campanha de venda/lead direta) como porta de entrada de qualificação, dado o orçamento de mídia ainda curto.</w:t>
      </w:r>
    </w:p>
    <w:p>
      <w:pPr>
        <w:pStyle w:val="ListBullet"/>
      </w:pPr>
      <w:r>
        <w:t>Melhor posicionamento de marca (via consultoria Eleva) para subir o ticket médio e atrair condomínios com perfil mais próximo do ideal (30+ unidades).</w:t>
      </w:r>
    </w:p>
    <w:p>
      <w:pPr>
        <w:pStyle w:val="ListBullet"/>
      </w:pPr>
      <w:r>
        <w:t>O próprio momento de renovação anual de contrato pode ser tratado como uma "venda recorrente" dentro da estratégia de conteúdo — manter prova de valor visível ao longo do ano evita decisões de troca de síndico na assembleia de fim de ano.</w:t>
      </w:r>
    </w:p>
    <w:p>
      <w:pPr>
        <w:pStyle w:val="Heading1"/>
      </w:pPr>
      <w:r>
        <w:rPr>
          <w:color w:val="16335C"/>
        </w:rPr>
        <w:t>6. Ameaças</w:t>
      </w:r>
    </w:p>
    <w:p>
      <w:pPr>
        <w:pStyle w:val="ListBullet"/>
      </w:pPr>
      <w:r>
        <w:t>Concorrência relevante em Porto Alegre, com empresas de síndicos profissionais mais estruturadas internamente do que a Strategia hoje.</w:t>
      </w:r>
    </w:p>
    <w:p>
      <w:pPr>
        <w:pStyle w:val="ListBullet"/>
      </w:pPr>
      <w:r>
        <w:t>Ciclo de venda longo e fora do controle direto da empresa: depende de assembleia e votação dos condôminos, o que limita a velocidade de conversão mesmo com um funil de marketing eficiente.</w:t>
      </w:r>
    </w:p>
    <w:p>
      <w:pPr>
        <w:pStyle w:val="ListBullet"/>
      </w:pPr>
      <w:r>
        <w:t>Risco de não-renovação anual ligado à fraqueza de atendimento/retorno já identificada — um problema operacional pode virar perda de receita recorrente, não só falha de marketing.</w:t>
      </w:r>
    </w:p>
    <w:p>
      <w:pPr>
        <w:pStyle w:val="ListBullet"/>
      </w:pPr>
      <w:r>
        <w:t>Orçamento de mídia limitado (R$1.500/mês em verba) exige alta assertividade; erro de direcionamento de campanha tem custo proporcionalmente mais alto que para um concorrente com budget maior.</w:t>
      </w:r>
    </w:p>
    <w:p>
      <w:pPr>
        <w:pStyle w:val="Heading1"/>
      </w:pPr>
      <w:r>
        <w:rPr>
          <w:color w:val="16335C"/>
        </w:rPr>
        <w:t>7. Público-Alvo Consolidado</w:t>
      </w:r>
    </w:p>
    <w:p>
      <w:r>
        <w:rPr>
          <w:b/>
        </w:rPr>
        <w:t>Decisor primário:</w:t>
      </w:r>
      <w:r>
        <w:t xml:space="preserve"> conselheiro de condomínio residencial, ou responsável pela gestão de condomínio comercial, em Porto Alegre — pessoa que inicia o contato, mas que não decide sozinha (a decisão final passa por assembleia e votação dos condôminos).</w:t>
      </w:r>
    </w:p>
    <w:p>
      <w:r>
        <w:rPr>
          <w:b/>
        </w:rPr>
        <w:t>Perfil de condomínio ideal:</w:t>
      </w:r>
      <w:r>
        <w:t xml:space="preserve"> 30 unidades ou mais (ticket maior, operação mais profissionalizada do lado do cliente também). Realidade atual: aceitam também condomínios menores por necessidade de volume neste momento de reconstrução do funil.</w:t>
      </w:r>
    </w:p>
    <w:p>
      <w:r>
        <w:rPr>
          <w:b/>
        </w:rPr>
        <w:t>Perfil de condomínio "ouro" (meta futura, não foco imediato):</w:t>
      </w:r>
      <w:r>
        <w:t xml:space="preserve"> construtoras e imobiliárias com portfólio de empreendimentos — uma única parceria fechada entrega múltiplos condomínios.</w:t>
      </w:r>
    </w:p>
    <w:p>
      <w:r>
        <w:rPr>
          <w:b/>
        </w:rPr>
        <w:t>Gatilho de busca:</w:t>
      </w:r>
      <w:r>
        <w:t xml:space="preserve"> insatisfação com a gestão atual (síndico morador sobrecarregado, síndico profissional que não responde, falta de transparência financeira) ou ausência de síndico profissional formal — exatamente a dor já explorada nos calendários editoriais de agosto/setembro construídos com a RECRIA.</w:t>
      </w:r>
    </w:p>
    <w:p>
      <w:pPr>
        <w:pStyle w:val="Heading1"/>
      </w:pPr>
      <w:r>
        <w:rPr>
          <w:color w:val="16335C"/>
        </w:rPr>
        <w:t>8. Gap: Contratado vs. Necessário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Contratado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o negócio precisa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2160"/>
          </w:tcPr>
          <w:p>
            <w:r>
              <w:t>Social media</w:t>
            </w:r>
          </w:p>
        </w:tc>
        <w:tc>
          <w:tcPr>
            <w:tcW w:type="dxa" w:w="2160"/>
          </w:tcPr>
          <w:p>
            <w:r>
              <w:t>2 posts/semana + datas comemorativas</w:t>
            </w:r>
          </w:p>
        </w:tc>
        <w:tc>
          <w:tcPr>
            <w:tcW w:type="dxa" w:w="2160"/>
          </w:tcPr>
          <w:p>
            <w:r>
              <w:t>Mantido, mas com calendário orientado a conversão (já em execução: jul/ago/set 2026)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LP / página de vendas</w:t>
            </w:r>
          </w:p>
        </w:tc>
        <w:tc>
          <w:tcPr>
            <w:tcW w:type="dxa" w:w="2160"/>
          </w:tcPr>
          <w:p>
            <w:r>
              <w:t>Em construção (Claude + Webflow)</w:t>
            </w:r>
          </w:p>
        </w:tc>
        <w:tc>
          <w:tcPr>
            <w:tcW w:type="dxa" w:w="2160"/>
          </w:tcPr>
          <w:p>
            <w:r>
              <w:t>Destravar liberação do domínio da Fator — bloqueador nº 1 de todo o funil</w:t>
            </w:r>
          </w:p>
        </w:tc>
        <w:tc>
          <w:tcPr>
            <w:tcW w:type="dxa" w:w="2160"/>
          </w:tcPr>
          <w:p>
            <w:r>
              <w:t>Alta — urgente</w:t>
            </w:r>
          </w:p>
        </w:tc>
      </w:tr>
      <w:tr>
        <w:tc>
          <w:tcPr>
            <w:tcW w:type="dxa" w:w="2160"/>
          </w:tcPr>
          <w:p>
            <w:r>
              <w:t>Tráfego pago (gestão)</w:t>
            </w:r>
          </w:p>
        </w:tc>
        <w:tc>
          <w:tcPr>
            <w:tcW w:type="dxa" w:w="2160"/>
          </w:tcPr>
          <w:p>
            <w:r>
              <w:t>Incluído na mensalidade RECRIA</w:t>
            </w:r>
          </w:p>
        </w:tc>
        <w:tc>
          <w:tcPr>
            <w:tcW w:type="dxa" w:w="2160"/>
          </w:tcPr>
          <w:p>
            <w:r>
              <w:t>Reativar assim que a LP estiver no ar; hoje 100% pausado</w:t>
            </w:r>
          </w:p>
        </w:tc>
        <w:tc>
          <w:tcPr>
            <w:tcW w:type="dxa" w:w="2160"/>
          </w:tcPr>
          <w:p>
            <w:r>
              <w:t>Alta — depende da LP</w:t>
            </w:r>
          </w:p>
        </w:tc>
      </w:tr>
      <w:tr>
        <w:tc>
          <w:tcPr>
            <w:tcW w:type="dxa" w:w="2160"/>
          </w:tcPr>
          <w:p>
            <w:r>
              <w:t>Verba de mídia (Google + Meta)</w:t>
            </w:r>
          </w:p>
        </w:tc>
        <w:tc>
          <w:tcPr>
            <w:tcW w:type="dxa" w:w="2160"/>
          </w:tcPr>
          <w:p>
            <w:r>
              <w:t>R$1.500/mês orçados</w:t>
            </w:r>
          </w:p>
        </w:tc>
        <w:tc>
          <w:tcPr>
            <w:tcW w:type="dxa" w:w="2160"/>
          </w:tcPr>
          <w:p>
            <w:r>
              <w:t>Confirmar se a verba está realmente disponível para liberar assim que a LP subir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Comercial (SDR/BDR)</w:t>
            </w:r>
          </w:p>
        </w:tc>
        <w:tc>
          <w:tcPr>
            <w:tcW w:type="dxa" w:w="2160"/>
          </w:tcPr>
          <w:p>
            <w:r>
              <w:t>Jessie, R$400/mês</w:t>
            </w:r>
          </w:p>
        </w:tc>
        <w:tc>
          <w:tcPr>
            <w:tcW w:type="dxa" w:w="2160"/>
          </w:tcPr>
          <w:p>
            <w:r>
              <w:t>Mantido; já cobre prospecção ativa + reativação + atendimento de lead</w:t>
            </w:r>
          </w:p>
        </w:tc>
        <w:tc>
          <w:tcPr>
            <w:tcW w:type="dxa" w:w="2160"/>
          </w:tcPr>
          <w:p>
            <w:r>
              <w:t>Média — funcionando</w:t>
            </w:r>
          </w:p>
        </w:tc>
      </w:tr>
      <w:tr>
        <w:tc>
          <w:tcPr>
            <w:tcW w:type="dxa" w:w="2160"/>
          </w:tcPr>
          <w:p>
            <w:r>
              <w:t>ManyChat</w:t>
            </w:r>
          </w:p>
        </w:tc>
        <w:tc>
          <w:tcPr>
            <w:tcW w:type="dxa" w:w="2160"/>
          </w:tcPr>
          <w:p>
            <w:r>
              <w:t>Em uso, ≈R$150/mês</w:t>
            </w:r>
          </w:p>
        </w:tc>
        <w:tc>
          <w:tcPr>
            <w:tcW w:type="dxa" w:w="2160"/>
          </w:tcPr>
          <w:p>
            <w:r>
              <w:t>Mantido; reforça o funil de qualificação de baixo custo</w:t>
            </w:r>
          </w:p>
        </w:tc>
        <w:tc>
          <w:tcPr>
            <w:tcW w:type="dxa" w:w="2160"/>
          </w:tcPr>
          <w:p>
            <w:r>
              <w:t>Média — funcionando</w:t>
            </w:r>
          </w:p>
        </w:tc>
      </w:tr>
      <w:tr>
        <w:tc>
          <w:tcPr>
            <w:tcW w:type="dxa" w:w="2160"/>
          </w:tcPr>
          <w:p>
            <w:r>
              <w:t>Identidade visual / MIV formal</w:t>
            </w:r>
          </w:p>
        </w:tc>
        <w:tc>
          <w:tcPr>
            <w:tcW w:type="dxa" w:w="2160"/>
          </w:tcPr>
          <w:p>
            <w:r>
              <w:t>Observação preliminar feita a partir do Instagram (sem manual formal ainda)</w:t>
            </w:r>
          </w:p>
        </w:tc>
        <w:tc>
          <w:tcPr>
            <w:tcW w:type="dxa" w:w="2160"/>
          </w:tcPr>
          <w:p>
            <w:r>
              <w:t>Questionário de marca formal ainda será enviado pela usuária — necessário para travar regras de uso do "quadradinho" e liberdade criativa do design</w:t>
            </w:r>
          </w:p>
        </w:tc>
        <w:tc>
          <w:tcPr>
            <w:tcW w:type="dxa" w:w="2160"/>
          </w:tcPr>
          <w:p>
            <w:r>
              <w:t>Alta — bloqueia padronização de criativos</w:t>
            </w:r>
          </w:p>
        </w:tc>
      </w:tr>
      <w:tr>
        <w:tc>
          <w:tcPr>
            <w:tcW w:type="dxa" w:w="2160"/>
          </w:tcPr>
          <w:p>
            <w:r>
              <w:t>Gestão operacional interna (CRM, ferramentas, follow-up de condômino)</w:t>
            </w:r>
          </w:p>
        </w:tc>
        <w:tc>
          <w:tcPr>
            <w:tcW w:type="dxa" w:w="2160"/>
          </w:tcPr>
          <w:p>
            <w:r>
              <w:t>Não contratado com a RECRIA</w:t>
            </w:r>
          </w:p>
        </w:tc>
        <w:tc>
          <w:tcPr>
            <w:tcW w:type="dxa" w:w="2160"/>
          </w:tcPr>
          <w:p>
            <w:r>
              <w:t>Fora do escopo de marketing, mas é risco real de churn de cliente — accionar via consultoria Eleva</w:t>
            </w:r>
          </w:p>
        </w:tc>
        <w:tc>
          <w:tcPr>
            <w:tcW w:type="dxa" w:w="2160"/>
          </w:tcPr>
          <w:p>
            <w:r>
              <w:t>Sinalizar, não vender ainda</w:t>
            </w:r>
          </w:p>
        </w:tc>
      </w:tr>
      <w:tr>
        <w:tc>
          <w:tcPr>
            <w:tcW w:type="dxa" w:w="2160"/>
          </w:tcPr>
          <w:p>
            <w:r>
              <w:t>Parceria com construtoras/imobiliárias</w:t>
            </w:r>
          </w:p>
        </w:tc>
        <w:tc>
          <w:tcPr>
            <w:tcW w:type="dxa" w:w="2160"/>
          </w:tcPr>
          <w:p>
            <w:r>
              <w:t>Não contratado</w:t>
            </w:r>
          </w:p>
        </w:tc>
        <w:tc>
          <w:tcPr>
            <w:tcW w:type="dxa" w:w="2160"/>
          </w:tcPr>
          <w:p>
            <w:r>
              <w:t>Linha de prospecção B2B2C separada da campanha atual — fora de escopo imediato</w:t>
            </w:r>
          </w:p>
        </w:tc>
        <w:tc>
          <w:tcPr>
            <w:tcW w:type="dxa" w:w="2160"/>
          </w:tcPr>
          <w:p>
            <w:r>
              <w:t>Baixa (meta futura)</w:t>
            </w:r>
          </w:p>
        </w:tc>
      </w:tr>
    </w:tbl>
    <w:p/>
    <w:p>
      <w:r>
        <w:rPr>
          <w:b/>
        </w:rPr>
        <w:t>Sugestão de upsell futuro:</w:t>
      </w:r>
      <w:r>
        <w:t xml:space="preserve"> depois que o funil atual (LP + tráfego + social) provar 4 fechamentos/mês de break-even (ver seção 8.1), propor uma frente de prospecção ativa específica para construtoras e imobiliárias — formato diferente (B2B, ciclo mais longo, ticket maior por contrato fechado), a ser avaliado quando a operação atual estiver estável.</w:t>
      </w:r>
    </w:p>
    <w:p>
      <w:pPr>
        <w:pStyle w:val="Heading2"/>
      </w:pPr>
      <w:r>
        <w:rPr>
          <w:color w:val="16335C"/>
        </w:rPr>
        <w:t>8.1 Modelo de break-even (referência para metas)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mensal</w:t>
            </w:r>
          </w:p>
        </w:tc>
      </w:tr>
      <w:tr>
        <w:tc>
          <w:tcPr>
            <w:tcW w:type="dxa" w:w="4320"/>
          </w:tcPr>
          <w:p>
            <w:r>
              <w:t>RECRIA (social media + LP + gestão de tráfego)</w:t>
            </w:r>
          </w:p>
        </w:tc>
        <w:tc>
          <w:tcPr>
            <w:tcW w:type="dxa" w:w="4320"/>
          </w:tcPr>
          <w:p>
            <w:r>
              <w:t>R$ 1.000</w:t>
            </w:r>
          </w:p>
        </w:tc>
      </w:tr>
      <w:tr>
        <w:tc>
          <w:tcPr>
            <w:tcW w:type="dxa" w:w="4320"/>
          </w:tcPr>
          <w:p>
            <w:r>
              <w:t>Comercial (Jessie)</w:t>
            </w:r>
          </w:p>
        </w:tc>
        <w:tc>
          <w:tcPr>
            <w:tcW w:type="dxa" w:w="4320"/>
          </w:tcPr>
          <w:p>
            <w:r>
              <w:t>R$ 400</w:t>
            </w:r>
          </w:p>
        </w:tc>
      </w:tr>
      <w:tr>
        <w:tc>
          <w:tcPr>
            <w:tcW w:type="dxa" w:w="4320"/>
          </w:tcPr>
          <w:p>
            <w:r>
              <w:t>Verba Google Ads</w:t>
            </w:r>
          </w:p>
        </w:tc>
        <w:tc>
          <w:tcPr>
            <w:tcW w:type="dxa" w:w="4320"/>
          </w:tcPr>
          <w:p>
            <w:r>
              <w:t>R$ 1.000</w:t>
            </w:r>
          </w:p>
        </w:tc>
      </w:tr>
      <w:tr>
        <w:tc>
          <w:tcPr>
            <w:tcW w:type="dxa" w:w="4320"/>
          </w:tcPr>
          <w:p>
            <w:r>
              <w:t>Verba Meta Ads</w:t>
            </w:r>
          </w:p>
        </w:tc>
        <w:tc>
          <w:tcPr>
            <w:tcW w:type="dxa" w:w="4320"/>
          </w:tcPr>
          <w:p>
            <w:r>
              <w:t>R$ 500</w:t>
            </w:r>
          </w:p>
        </w:tc>
      </w:tr>
      <w:tr>
        <w:tc>
          <w:tcPr>
            <w:tcW w:type="dxa" w:w="4320"/>
          </w:tcPr>
          <w:p>
            <w:r>
              <w:t>ManyChat</w:t>
            </w:r>
          </w:p>
        </w:tc>
        <w:tc>
          <w:tcPr>
            <w:tcW w:type="dxa" w:w="4320"/>
          </w:tcPr>
          <w:p>
            <w:r>
              <w:t>≈ R$ 150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mensal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≈ R$ 3.050</w:t>
            </w:r>
          </w:p>
        </w:tc>
      </w:tr>
    </w:tbl>
    <w:p/>
    <w:p>
      <w:r>
        <w:t xml:space="preserve">Ticket médio: </w:t>
      </w:r>
      <w:r>
        <w:rPr>
          <w:b/>
        </w:rPr>
        <w:t>R$ 1.000/mês</w:t>
      </w:r>
      <w:r>
        <w:t xml:space="preserve"> (arredondado; varia entre R$700 negociado e R$1.000–1.100 padrão).</w:t>
      </w:r>
    </w:p>
    <w:p>
      <w:r>
        <w:rPr>
          <w:b/>
        </w:rPr>
        <w:t>Break-even: R$3.050 ÷ R$1.000 ≈ 3,05 → 4 condomínios ativos</w:t>
      </w:r>
      <w:r>
        <w:t xml:space="preserve"> pagando já cobrem o investimento total em aquisição (marketing + comercial). A partir do 5º condomínio ativo simultâneo, o mix de aquisição passa a gerar margem positiva.</w:t>
      </w:r>
    </w:p>
    <w:p>
      <w:r>
        <w:rPr>
          <w:b/>
        </w:rPr>
        <w:t>LTV de referência:</w:t>
      </w:r>
      <w:r>
        <w:t xml:space="preserve"> a Strategia não mapeia tempo médio de retenção de cliente hoje — não existe esse controle (nem CRM, nem follow-up estruturado). Por ora, adota-se </w:t>
      </w:r>
      <w:r>
        <w:rPr>
          <w:b/>
        </w:rPr>
        <w:t>LTV de trabalho = 12 meses</w:t>
      </w:r>
      <w:r>
        <w:t xml:space="preserve"> como premissa conservadora:</w:t>
      </w:r>
    </w:p>
    <w:p>
      <w:r>
        <w:t xml:space="preserve">LTV = R$1.000 × 12 = </w:t>
      </w:r>
      <w:r>
        <w:rPr>
          <w:b/>
        </w:rPr>
        <w:t>R$12.000 por condomínio fechado</w:t>
      </w:r>
    </w:p>
    <w:p>
      <w:r>
        <w:t xml:space="preserve">Isso torna o CAC (mesmo que comece alto enquanto o funil ainda está sendo validado) facilmente justificável — qualquer CAC abaixo de ~R$12.000 por cliente fechado já é, em tese, rentável dentro do primeiro ano de contrato. </w:t>
      </w:r>
      <w:r>
        <w:rPr>
          <w:b/>
        </w:rPr>
        <w:t>Recomenda-se iniciar agora o mapeamento real de retenção</w:t>
      </w:r>
      <w:r>
        <w:t xml:space="preserve"> (quantos meses/anos cada condomínio efetivamente permanece) para substituir essa premissa por dado real nos próximos diagnósticos.</w:t>
      </w:r>
    </w:p>
    <w:p>
      <w:pPr>
        <w:pStyle w:val="Heading1"/>
      </w:pPr>
      <w:r>
        <w:rPr>
          <w:color w:val="16335C"/>
        </w:rPr>
        <w:t>9. Plano de Ação — 30/60/90 dias</w:t>
      </w:r>
    </w:p>
    <w:p>
      <w:pPr>
        <w:pStyle w:val="Heading2"/>
      </w:pPr>
      <w:r>
        <w:rPr>
          <w:color w:val="16335C"/>
        </w:rPr>
        <w:t>Frente: Transição / Infraestrutura (pré-requisito de tudo)</w:t>
      </w:r>
    </w:p>
    <w:p>
      <w:r>
        <w:rPr>
          <w:b/>
        </w:rPr>
        <w:t>30 dias:</w:t>
      </w:r>
      <w:r>
        <w:t xml:space="preserve"> Acompanhar de perto a liberação do domínio junto à Fator — esse é o bloqueador crítico de todo o funil. Sem isso, LP não sobe sem risco de quebrar e-mail/ferramentas já vinculadas ao domínio.</w:t>
      </w:r>
    </w:p>
    <w:p>
      <w:r>
        <w:rPr>
          <w:b/>
        </w:rPr>
        <w:t>60 dias:</w:t>
      </w:r>
      <w:r>
        <w:t xml:space="preserve"> LP no ar, testada, com formulário de qualificação ativo (eliminar o problema de lead desqualificado indo direto pro WhatsApp).</w:t>
      </w:r>
    </w:p>
    <w:p>
      <w:r>
        <w:rPr>
          <w:b/>
        </w:rPr>
        <w:t>90 dias:</w:t>
      </w:r>
      <w:r>
        <w:t xml:space="preserve"> Funil completo (anúncio → LP → ManyChat/qualificação → SDR) rodando sem dependência manual.</w:t>
      </w:r>
    </w:p>
    <w:p>
      <w:pPr>
        <w:pStyle w:val="Heading2"/>
      </w:pPr>
      <w:r>
        <w:rPr>
          <w:color w:val="16335C"/>
        </w:rPr>
        <w:t>Frente: Social Media</w:t>
      </w:r>
    </w:p>
    <w:p>
      <w:r>
        <w:rPr>
          <w:b/>
        </w:rPr>
        <w:t>30 dias:</w:t>
      </w:r>
      <w:r>
        <w:t xml:space="preserve"> Manter cadência de 2 posts/semana com o calendário editorial já construído (jul: NR-1 + carregadores de veículo elétrico como prioridade; ago/set: linha de storytelling pra condomínio insatisfeito/sem síndico profissional).</w:t>
      </w:r>
    </w:p>
    <w:p>
      <w:r>
        <w:rPr>
          <w:b/>
        </w:rPr>
        <w:t>60 dias:</w:t>
      </w:r>
      <w:r>
        <w:t xml:space="preserve"> Medir engajamento e comentários por palavra-chave (CONDOMÍNIO, SÍNDICO, TROCAR, etc.) via ManyChat — identificar quais ganchos geram mais conversa qualificada.</w:t>
      </w:r>
    </w:p>
    <w:p>
      <w:r>
        <w:rPr>
          <w:b/>
        </w:rPr>
        <w:t>90 dias:</w:t>
      </w:r>
      <w:r>
        <w:t xml:space="preserve"> Ajustar a proporção de temas (educativo vs. storytelling vs. institucional) com base no que de fato gerou lead, não só engajamento.</w:t>
      </w:r>
    </w:p>
    <w:p>
      <w:pPr>
        <w:pStyle w:val="Heading2"/>
      </w:pPr>
      <w:r>
        <w:rPr>
          <w:color w:val="16335C"/>
        </w:rPr>
        <w:t>Frente: Tráfego Pago</w:t>
      </w:r>
    </w:p>
    <w:p>
      <w:r>
        <w:rPr>
          <w:b/>
        </w:rPr>
        <w:t>30 dias:</w:t>
      </w:r>
      <w:r>
        <w:t xml:space="preserve"> Mantido pausado até a LP estar pronta — não gastar verba de mídia sem destino qualificado.</w:t>
      </w:r>
    </w:p>
    <w:p>
      <w:r>
        <w:rPr>
          <w:b/>
        </w:rPr>
        <w:t>60 dias:</w:t>
      </w:r>
      <w:r>
        <w:t xml:space="preserve"> Reativar campanhas com foco em engajamento (custo menor) levando para qualificação no ManyChat, dado o orçamento curto (R$1.500/mês em verba).</w:t>
      </w:r>
    </w:p>
    <w:p>
      <w:r>
        <w:rPr>
          <w:b/>
        </w:rPr>
        <w:t>90 dias:</w:t>
      </w:r>
      <w:r>
        <w:t xml:space="preserve"> Avaliar primeiros resultados de custo por lead qualificado e por cliente fechado; ajustar mix Google vs. Meta conforme o canal que mais converteu.</w:t>
      </w:r>
    </w:p>
    <w:p>
      <w:pPr>
        <w:pStyle w:val="Heading2"/>
      </w:pPr>
      <w:r>
        <w:rPr>
          <w:color w:val="16335C"/>
        </w:rPr>
        <w:t>Frente: Comercial</w:t>
      </w:r>
    </w:p>
    <w:p>
      <w:r>
        <w:rPr>
          <w:b/>
        </w:rPr>
        <w:t>30 dias:</w:t>
      </w:r>
      <w:r>
        <w:t xml:space="preserve"> Jessie retomando contato com propostas não fechadas de anos anteriores (pipeline já existente, custo de oportunidade baixo) enquanto o tráfego pago está pausado.</w:t>
      </w:r>
    </w:p>
    <w:p>
      <w:r>
        <w:rPr>
          <w:b/>
        </w:rPr>
        <w:t>60 dias:</w:t>
      </w:r>
      <w:r>
        <w:t xml:space="preserve"> Estruturar follow-up formal com os leads que começarem a entrar pela LP/ManyChat.</w:t>
      </w:r>
    </w:p>
    <w:p>
      <w:r>
        <w:rPr>
          <w:b/>
        </w:rPr>
        <w:t>90 dias:</w:t>
      </w:r>
      <w:r>
        <w:t xml:space="preserve"> Revisar taxa de conversão proposta → assembleia → fechamento, e identificar em qual etapa do funil burocrático mais leads se perdem.</w:t>
      </w:r>
    </w:p>
    <w:p>
      <w:pPr>
        <w:pStyle w:val="Heading2"/>
      </w:pPr>
      <w:r>
        <w:rPr>
          <w:color w:val="16335C"/>
        </w:rPr>
        <w:t>Frente: Identidade de Marca / MIV</w:t>
      </w:r>
    </w:p>
    <w:p>
      <w:r>
        <w:rPr>
          <w:b/>
        </w:rPr>
        <w:t>30 dias:</w:t>
      </w:r>
      <w:r>
        <w:t xml:space="preserve"> Receber e processar o questionário de marca formal (a ser enviado pela usuária) e consolidar com a leitura preliminar já feita do Instagram (paleta azul-marinho/branco/vermelho, uso do "quadradinho" como moldura/selo, não como fundo).</w:t>
      </w:r>
    </w:p>
    <w:p>
      <w:r>
        <w:rPr>
          <w:b/>
        </w:rPr>
        <w:t>60 dias:</w:t>
      </w:r>
      <w:r>
        <w:t xml:space="preserve"> Formalizar manual de identidade visual da Strategia, travando regras de liberdade criativa para `design-social-media-cliente`.</w:t>
      </w:r>
    </w:p>
    <w:p>
      <w:r>
        <w:rPr>
          <w:b/>
        </w:rPr>
        <w:t>90 dias:</w:t>
      </w:r>
      <w:r>
        <w:t xml:space="preserve"> Auditar peças produzidas no trimestre contra o MIV formal, ajustando o que tiver saído fora do padrão.</w:t>
      </w:r>
    </w:p>
    <w:p>
      <w:pPr>
        <w:pStyle w:val="Heading1"/>
      </w:pPr>
      <w:r>
        <w:rPr>
          <w:color w:val="16335C"/>
        </w:rPr>
        <w:t>10. Identidade de Marca (insumo para Copywriter e Design)</w:t>
      </w:r>
    </w:p>
    <w:p>
      <w:r>
        <w:rPr>
          <w:b/>
        </w:rPr>
        <w:t>Tom de voz:</w:t>
      </w:r>
      <w:r>
        <w:t xml:space="preserve"> profissional, direto, com autoridade técnica — mas sem alarmismo. Educa antes de vender. Em conteúdos de storytelling (condomínio insatisfeito), tom mais próximo e identificável, sem perder a seriedade institucional.</w:t>
      </w:r>
    </w:p>
    <w:p>
      <w:r>
        <w:rPr>
          <w:b/>
        </w:rPr>
        <w:t>Cores/símbolos de referência (observação preliminar do Instagram — confirmar com MIV formal):</w:t>
      </w:r>
      <w:r>
        <w:t xml:space="preserve"> azul-marinho escuro como base, branco, vermelho/laranja como cor de CTA ("LEIA A LEGENDA"), verde reservado para temas ESG/sustentabilidade. Padrão "quadradinho" (checkerboard) usado como moldura decorativa fina em bordas de foto/bloco de cor, ou preenchendo selos/badges (ex: "10 anos") — não deve ser usado como fundo principal de slide com texto corrido, sob risco de comprometer legibilidade.</w:t>
      </w:r>
    </w:p>
    <w:p>
      <w:r>
        <w:rPr>
          <w:b/>
        </w:rPr>
        <w:t>O que evitar:</w:t>
      </w:r>
      <w:r>
        <w:t xml:space="preserve"> branding genérico sem gancho de conversão (o padrão da agência anterior); comunicação que exponha publicamente as fraquezas internas identificadas neste diagnóstico (desorganização, demora de retorno) — esses pontos orientam o cuidado interno da agência, não o discurso público da marca.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