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Estrutura de Google Ads — Ativação do Portal do Síndico</w:t>
      </w:r>
    </w:p>
    <w:p>
      <w:pPr>
        <w:spacing w:after="80"/>
      </w:pPr>
      <w:r>
        <w:rPr>
          <w:i/>
          <w:iCs/>
          <w:color w:val="555555"/>
          <w:sz w:val="18"/>
          <w:szCs w:val="18"/>
        </w:rPr>
        <w:t xml:space="preserve">RECRIA Marketing, 09/10/2026</w:t>
      </w:r>
    </w:p>
    <w:p>
      <w:pPr>
        <w:spacing w:after="160"/>
      </w:pPr>
      <w:r>
        <w:rPr>
          <w:b/>
          <w:bCs/>
          <w:sz w:val="21"/>
          <w:szCs w:val="21"/>
        </w:rPr>
        <w:t xml:space="preserve">Cliente:</w:t>
      </w:r>
      <w:r>
        <w:rPr>
          <w:sz w:val="21"/>
          <w:szCs w:val="21"/>
        </w:rPr>
        <w:t xml:space="preserve"> Eleva</w:t>
      </w:r>
    </w:p>
    <w:p>
      <w:pPr>
        <w:spacing w:after="160"/>
      </w:pPr>
      <w:r>
        <w:rPr>
          <w:sz w:val="21"/>
          <w:szCs w:val="21"/>
        </w:rPr>
        <w:t xml:space="preserve">Proposta de estrutura de campanha para usar o saldo disponível (R$ 1.500,00) na conta de Google Ads já existente da Eleva, ativando o Portal do Síndico por cerca de 30 dias, divididos em duas quinzenas entre outubro e novembro.</w:t>
      </w:r>
    </w:p>
    <w:p>
      <w:pPr>
        <w:pBdr>
          <w:bottom w:val="single" w:color="cccccc" w:sz="6" w:space="4"/>
        </w:pBdr>
        <w:spacing w:after="200"/>
      </w:pPr>
    </w:p>
    <w:p>
      <w:pPr>
        <w:pStyle w:val="Heading2"/>
        <w:keepNext/>
        <w:spacing w:after="150" w:before="300"/>
      </w:pPr>
      <w:r>
        <w:t xml:space="preserve">1. Pontos de partida (a partir do pedido do Giuliano à agência de medição)</w:t>
      </w:r>
    </w:p>
    <w:p>
      <w:pPr>
        <w:pStyle w:val="ListParagraph"/>
        <w:numPr>
          <w:ilvl w:val="0"/>
          <w:numId w:val="1"/>
        </w:numPr>
        <w:spacing w:after="80"/>
      </w:pPr>
      <w:r>
        <w:rPr>
          <w:b/>
          <w:bCs/>
          <w:sz w:val="21"/>
          <w:szCs w:val="21"/>
        </w:rPr>
        <w:t xml:space="preserve">Conta:</w:t>
      </w:r>
      <w:r>
        <w:rPr>
          <w:sz w:val="21"/>
          <w:szCs w:val="21"/>
        </w:rPr>
        <w:t xml:space="preserve"> mesma conta de Google Ads da Eleva, já existente. A campanha e as conversões do portal ficam com nome próprio, separadas das demais marcas.</w:t>
      </w:r>
    </w:p>
    <w:p>
      <w:pPr>
        <w:pStyle w:val="ListParagraph"/>
        <w:numPr>
          <w:ilvl w:val="0"/>
          <w:numId w:val="1"/>
        </w:numPr>
        <w:spacing w:after="80"/>
      </w:pPr>
      <w:r>
        <w:rPr>
          <w:b/>
          <w:bCs/>
          <w:sz w:val="21"/>
          <w:szCs w:val="21"/>
        </w:rPr>
        <w:t xml:space="preserve">Página de destino:</w:t>
      </w:r>
      <w:r>
        <w:rPr>
          <w:sz w:val="21"/>
          <w:szCs w:val="21"/>
        </w:rPr>
        <w:t xml:space="preserve"> elevags.com.br/portal-do-sindico</w:t>
      </w:r>
    </w:p>
    <w:p>
      <w:pPr>
        <w:pStyle w:val="ListParagraph"/>
        <w:numPr>
          <w:ilvl w:val="0"/>
          <w:numId w:val="1"/>
        </w:numPr>
        <w:spacing w:after="80"/>
      </w:pPr>
      <w:r>
        <w:rPr>
          <w:b/>
          <w:bCs/>
          <w:sz w:val="21"/>
          <w:szCs w:val="21"/>
        </w:rPr>
        <w:t xml:space="preserve">Cadastro (conversão principal):</w:t>
      </w:r>
      <w:r>
        <w:rPr>
          <w:sz w:val="21"/>
          <w:szCs w:val="21"/>
        </w:rPr>
        <w:t xml:space="preserve"> portal.elevags.com.br, aberto pelo botão "Começar teste grátis"</w:t>
      </w:r>
    </w:p>
    <w:p>
      <w:pPr>
        <w:pStyle w:val="ListParagraph"/>
        <w:numPr>
          <w:ilvl w:val="0"/>
          <w:numId w:val="1"/>
        </w:numPr>
        <w:spacing w:after="80"/>
      </w:pPr>
      <w:r>
        <w:rPr>
          <w:b/>
          <w:bCs/>
          <w:sz w:val="21"/>
          <w:szCs w:val="21"/>
        </w:rPr>
        <w:t xml:space="preserve">Conversão secundária (se fizer sentido):</w:t>
      </w:r>
      <w:r>
        <w:rPr>
          <w:sz w:val="21"/>
          <w:szCs w:val="21"/>
        </w:rPr>
        <w:t xml:space="preserve"> envio do formulário de contato da página</w:t>
      </w:r>
    </w:p>
    <w:p>
      <w:pPr>
        <w:pStyle w:val="ListParagraph"/>
        <w:numPr>
          <w:ilvl w:val="0"/>
          <w:numId w:val="1"/>
        </w:numPr>
        <w:spacing w:after="80"/>
      </w:pPr>
      <w:r>
        <w:rPr>
          <w:b/>
          <w:bCs/>
          <w:sz w:val="21"/>
          <w:szCs w:val="21"/>
        </w:rPr>
        <w:t xml:space="preserve">Público:</w:t>
      </w:r>
      <w:r>
        <w:rPr>
          <w:sz w:val="21"/>
          <w:szCs w:val="21"/>
        </w:rPr>
        <w:t xml:space="preserve"> síndicos (moradores e profissionais), gestores e administradoras de condomínio, Brasil inteiro</w:t>
      </w:r>
    </w:p>
    <w:p>
      <w:pPr>
        <w:pStyle w:val="ListParagraph"/>
        <w:numPr>
          <w:ilvl w:val="0"/>
          <w:numId w:val="1"/>
        </w:numPr>
        <w:spacing w:after="80"/>
      </w:pPr>
      <w:r>
        <w:rPr>
          <w:b/>
          <w:bCs/>
          <w:sz w:val="21"/>
          <w:szCs w:val="21"/>
        </w:rPr>
        <w:t xml:space="preserve">Nome do produto confirmado:</w:t>
      </w:r>
      <w:r>
        <w:rPr>
          <w:sz w:val="21"/>
          <w:szCs w:val="21"/>
        </w:rPr>
        <w:t xml:space="preserve"> Portal do Síndico. Pode ser usado normalmente em anúncios, palavras-chave e textos pagos.</w:t>
      </w:r>
    </w:p>
    <w:p>
      <w:pPr>
        <w:pStyle w:val="ListParagraph"/>
        <w:numPr>
          <w:ilvl w:val="0"/>
          <w:numId w:val="1"/>
        </w:numPr>
        <w:spacing w:after="80"/>
      </w:pPr>
      <w:r>
        <w:rPr>
          <w:b/>
          <w:bCs/>
          <w:sz w:val="21"/>
          <w:szCs w:val="21"/>
        </w:rPr>
        <w:t xml:space="preserve">Momento de ativação:</w:t>
      </w:r>
      <w:r>
        <w:rPr>
          <w:sz w:val="21"/>
          <w:szCs w:val="21"/>
        </w:rPr>
        <w:t xml:space="preserve"> os anúncios só entram no ar quando o portal estiver totalmente ativo (fora da fase de antecipação/lista de espera), depois da medição de conversão confirmada ("Gravando conversões" no Google Ads) e com o ok do Giuliano. A fase de antecipação é trabalhada só no orgânico (Instagram e Meta), não no Google Ads.</w:t>
      </w:r>
    </w:p>
    <w:p>
      <w:pPr>
        <w:spacing w:after="160"/>
      </w:pPr>
      <w:r>
        <w:rPr>
          <w:sz w:val="21"/>
          <w:szCs w:val="21"/>
        </w:rPr>
        <w:t xml:space="preserve">Por isso, esta estrutura já vem pronta com o nome do produto, para ser ativada assim que o portal estiver no ar e a medição validada.</w:t>
      </w:r>
    </w:p>
    <w:p>
      <w:pPr>
        <w:pBdr>
          <w:bottom w:val="single" w:color="cccccc" w:sz="6" w:space="4"/>
        </w:pBdr>
        <w:spacing w:after="200"/>
      </w:pPr>
    </w:p>
    <w:p>
      <w:pPr>
        <w:pStyle w:val="Heading2"/>
        <w:keepNext/>
        <w:spacing w:after="150" w:before="300"/>
      </w:pPr>
      <w:r>
        <w:t xml:space="preserve">2. Objetivo da campanha</w:t>
      </w:r>
    </w:p>
    <w:p>
      <w:pPr>
        <w:spacing w:after="160"/>
      </w:pPr>
      <w:r>
        <w:rPr>
          <w:sz w:val="21"/>
          <w:szCs w:val="21"/>
        </w:rPr>
        <w:t xml:space="preserve">Gerar cadastros qualificados no teste grátis de 60 dias, não venda direta. A campanha é de </w:t>
      </w:r>
      <w:r>
        <w:rPr>
          <w:b/>
          <w:bCs/>
          <w:sz w:val="21"/>
          <w:szCs w:val="21"/>
        </w:rPr>
        <w:t xml:space="preserve">geração de leads/cadastro</w:t>
      </w:r>
      <w:r>
        <w:rPr>
          <w:sz w:val="21"/>
          <w:szCs w:val="21"/>
        </w:rPr>
        <w:t xml:space="preserve">, alinhada com a meta de conversão descrita na medição: "a pessoa começa o teste grátis". Entra no ar só quando o portal estiver com acesso liberado de verdade — a captação antecipada/lista de espera é feita apenas pelo orgânico.</w:t>
      </w:r>
    </w:p>
    <w:p>
      <w:pPr>
        <w:spacing w:after="160"/>
      </w:pPr>
      <w:r>
        <w:rPr>
          <w:b/>
          <w:bCs/>
          <w:sz w:val="21"/>
          <w:szCs w:val="21"/>
        </w:rPr>
        <w:t xml:space="preserve">Sobre existir "campanha de cadastro" no Google, como na Meta:</w:t>
      </w:r>
      <w:r>
        <w:rPr>
          <w:sz w:val="21"/>
          <w:szCs w:val="21"/>
        </w:rPr>
        <w:t xml:space="preserve"> o Google Ads não tem um objetivo com esse nome específico (lá a Meta chama de "Cadastros"/"Leads"), mas o resultado é o mesmo. A campanha de Pesquisa leva a pessoa para a página do portal normalmente, e o lance é otimizado para a </w:t>
      </w:r>
      <w:r>
        <w:rPr>
          <w:b/>
          <w:bCs/>
          <w:sz w:val="21"/>
          <w:szCs w:val="21"/>
        </w:rPr>
        <w:t xml:space="preserve">conversão de cadastro</w:t>
      </w:r>
      <w:r>
        <w:rPr>
          <w:sz w:val="21"/>
          <w:szCs w:val="21"/>
        </w:rPr>
        <w:t xml:space="preserve"> (o evento "começar teste grátis", já configurado na medição) em vez de ser otimizado para cliques ou para uma venda. Ou seja: funciona como campanha de cadastro, só que no Google isso é feito escolhendo a conversão certa como meta de otimização, e não escolhendo um "tipo de campanha" chamado cadastro.</w:t>
      </w:r>
    </w:p>
    <w:p>
      <w:pPr>
        <w:pBdr>
          <w:bottom w:val="single" w:color="cccccc" w:sz="6" w:space="4"/>
        </w:pBdr>
        <w:spacing w:after="200"/>
      </w:pPr>
    </w:p>
    <w:p>
      <w:pPr>
        <w:pStyle w:val="Heading2"/>
        <w:keepNext/>
        <w:spacing w:after="150" w:before="300"/>
      </w:pPr>
      <w:r>
        <w:t xml:space="preserve">3. Orçamento e janela de veiculação</w:t>
      </w:r>
    </w:p>
    <w:p>
      <w:pPr>
        <w:pStyle w:val="ListParagraph"/>
        <w:numPr>
          <w:ilvl w:val="0"/>
          <w:numId w:val="1"/>
        </w:numPr>
        <w:spacing w:after="80"/>
      </w:pPr>
      <w:r>
        <w:rPr>
          <w:b/>
          <w:bCs/>
          <w:sz w:val="21"/>
          <w:szCs w:val="21"/>
        </w:rPr>
        <w:t xml:space="preserve">Saldo disponível:</w:t>
      </w:r>
      <w:r>
        <w:rPr>
          <w:sz w:val="21"/>
          <w:szCs w:val="21"/>
        </w:rPr>
        <w:t xml:space="preserve"> R$ 1.500,00</w:t>
      </w:r>
    </w:p>
    <w:p>
      <w:pPr>
        <w:pStyle w:val="ListParagraph"/>
        <w:numPr>
          <w:ilvl w:val="0"/>
          <w:numId w:val="1"/>
        </w:numPr>
        <w:spacing w:after="80"/>
      </w:pPr>
      <w:r>
        <w:rPr>
          <w:b/>
          <w:bCs/>
          <w:sz w:val="21"/>
          <w:szCs w:val="21"/>
        </w:rPr>
        <w:t xml:space="preserve">Google custa mais caro que a Meta, de modo geral:</w:t>
      </w:r>
      <w:r>
        <w:rPr>
          <w:sz w:val="21"/>
          <w:szCs w:val="21"/>
        </w:rPr>
        <w:t xml:space="preserve"> o CPC (custo por clique) da Pesquisa do Google tende a ser mais alto que o custo de impulsionamento na Meta, principalmente em termos de gestão/software, por ter mais concorrência de licitação. Por outro lado, quem busca ativamente no Google costuma converter melhor, porque já está atrás de uma solução — então o custo por cadastro não necessariamente fica pior, só o custo por clique é maior. Os números exatos só saem depois dos primeiros dias rodando, mas é por isso que a sugestão abaixo é mais enxuta que a da Meta.</w:t>
      </w:r>
    </w:p>
    <w:p>
      <w:pPr>
        <w:pStyle w:val="ListParagraph"/>
        <w:numPr>
          <w:ilvl w:val="0"/>
          <w:numId w:val="1"/>
        </w:numPr>
        <w:spacing w:after="80"/>
      </w:pPr>
      <w:r>
        <w:rPr>
          <w:b/>
          <w:bCs/>
          <w:sz w:val="21"/>
          <w:szCs w:val="21"/>
        </w:rPr>
        <w:t xml:space="preserve">Janela sugerida:</w:t>
      </w:r>
      <w:r>
        <w:rPr>
          <w:sz w:val="21"/>
          <w:szCs w:val="21"/>
        </w:rPr>
        <w:t xml:space="preserve"> cerca de 30 dias corridos, dividida em duas metades de cerca de 15 dias — a primeira ainda em outubro (a partir do dia 13 ou do dia 20, conforme a data de lançamento) e a segunda em novembro, acompanhando o período em que a campanha orgânica de cadastro também está mais forte (conforme o calendário de marketing).</w:t>
      </w:r>
    </w:p>
    <w:p>
      <w:pPr>
        <w:pStyle w:val="ListParagraph"/>
        <w:numPr>
          <w:ilvl w:val="0"/>
          <w:numId w:val="1"/>
        </w:numPr>
        <w:spacing w:after="80"/>
      </w:pPr>
      <w:r>
        <w:rPr>
          <w:b/>
          <w:bCs/>
          <w:sz w:val="21"/>
          <w:szCs w:val="21"/>
        </w:rPr>
        <w:t xml:space="preserve">Orçamento diário sugerido:</w:t>
      </w:r>
      <w:r>
        <w:rPr>
          <w:sz w:val="21"/>
          <w:szCs w:val="21"/>
        </w:rPr>
        <w:t xml:space="preserve"> R$ 1.500 ÷ 30 dias = </w:t>
      </w:r>
      <w:r>
        <w:rPr>
          <w:b/>
          <w:bCs/>
          <w:sz w:val="21"/>
          <w:szCs w:val="21"/>
        </w:rPr>
        <w:t xml:space="preserve">R$ 50/dia</w:t>
      </w:r>
      <w:r>
        <w:rPr>
          <w:sz w:val="21"/>
          <w:szCs w:val="21"/>
        </w:rPr>
        <w:t xml:space="preserve">.</w:t>
      </w:r>
    </w:p>
    <w:p>
      <w:pPr>
        <w:pStyle w:val="ListParagraph"/>
        <w:numPr>
          <w:ilvl w:val="0"/>
          <w:numId w:val="1"/>
        </w:numPr>
        <w:spacing w:after="80"/>
      </w:pPr>
      <w:r>
        <w:rPr>
          <w:b/>
          <w:bCs/>
          <w:sz w:val="21"/>
          <w:szCs w:val="21"/>
        </w:rPr>
        <w:t xml:space="preserve">Estratégia de lance:</w:t>
      </w:r>
      <w:r>
        <w:rPr>
          <w:sz w:val="21"/>
          <w:szCs w:val="21"/>
        </w:rPr>
        <w:t xml:space="preserve"> Maximizar conversões, sem CPA alvo fixo nos primeiros 10–14 dias (fase de aprendizado), com CPA alvo revisado depois que houver volume de dados.</w:t>
      </w:r>
    </w:p>
    <w:p>
      <w:pPr>
        <w:pBdr>
          <w:bottom w:val="single" w:color="cccccc" w:sz="6" w:space="4"/>
        </w:pBdr>
        <w:spacing w:after="200"/>
      </w:pPr>
    </w:p>
    <w:p>
      <w:pPr>
        <w:pStyle w:val="Heading2"/>
        <w:keepNext/>
        <w:spacing w:after="150" w:before="300"/>
      </w:pPr>
      <w:r>
        <w:t xml:space="preserve">4. Estrutura de campanhas</w:t>
      </w:r>
    </w:p>
    <w:p>
      <w:pPr>
        <w:spacing w:after="160"/>
      </w:pPr>
      <w:r>
        <w:rPr>
          <w:sz w:val="21"/>
          <w:szCs w:val="21"/>
        </w:rPr>
        <w:t xml:space="preserve">Com uma verba desse tamanho, não compensa pulverizar em vários grupos de anúncios — isso só dilui o orçamento e atrasa o aprendizado do algoritmo. Vai </w:t>
      </w:r>
      <w:r>
        <w:rPr>
          <w:b/>
          <w:bCs/>
          <w:sz w:val="21"/>
          <w:szCs w:val="21"/>
        </w:rPr>
        <w:t xml:space="preserve">uma única campanha, com um único grupo de anúncios</w:t>
      </w:r>
      <w:r>
        <w:rPr>
          <w:sz w:val="21"/>
          <w:szCs w:val="21"/>
        </w:rPr>
        <w:t xml:space="preserve">, reunindo todas as palavras-chave no mesmo lugar. Mesmo assim, dá para acompanhar o desempenho palavra por palavra depois — o relatório de termos de pesquisa do Google Ads mostra individualmente quantos cliques, conversões e qual o CPA de cada palavra-chave, mesmo estando todas no mesmo grupo.</w:t>
      </w:r>
    </w:p>
    <w:p>
      <w:pPr>
        <w:spacing w:after="100" w:before="200"/>
      </w:pPr>
      <w:r>
        <w:rPr>
          <w:b/>
          <w:bCs/>
          <w:color w:val="1c2b4a"/>
          <w:sz w:val="22"/>
          <w:szCs w:val="22"/>
        </w:rPr>
        <w:t xml:space="preserve">Campanha única — Pesquisa | Portal do Síndico | Captação de Cadastro</w:t>
      </w:r>
    </w:p>
    <w:p>
      <w:pPr>
        <w:spacing w:after="80"/>
      </w:pPr>
      <w:r>
        <w:rPr>
          <w:i/>
          <w:iCs/>
          <w:color w:val="555555"/>
          <w:sz w:val="18"/>
          <w:szCs w:val="18"/>
        </w:rPr>
        <w:t xml:space="preserve">Palavras-chave (todas no mesmo grupo de anúncios):</w:t>
      </w:r>
    </w:p>
    <w:p>
      <w:pPr>
        <w:pStyle w:val="ListParagraph"/>
        <w:numPr>
          <w:ilvl w:val="0"/>
          <w:numId w:val="1"/>
        </w:numPr>
        <w:spacing w:after="80"/>
      </w:pPr>
      <w:r>
        <w:rPr>
          <w:sz w:val="21"/>
          <w:szCs w:val="21"/>
        </w:rPr>
        <w:t xml:space="preserve">"portal do síndico", "portal do síndico eleva", "eleva portal do síndico"</w:t>
      </w:r>
    </w:p>
    <w:p>
      <w:pPr>
        <w:pStyle w:val="ListParagraph"/>
        <w:numPr>
          <w:ilvl w:val="0"/>
          <w:numId w:val="1"/>
        </w:numPr>
        <w:spacing w:after="80"/>
      </w:pPr>
      <w:r>
        <w:rPr>
          <w:sz w:val="21"/>
          <w:szCs w:val="21"/>
        </w:rPr>
        <w:t xml:space="preserve">"sistema para síndico", "programa de gestão de condomínio", "ferramenta para administrar condomínio", "aplicativo para síndico"</w:t>
      </w:r>
    </w:p>
    <w:p>
      <w:pPr>
        <w:pStyle w:val="ListParagraph"/>
        <w:numPr>
          <w:ilvl w:val="0"/>
          <w:numId w:val="1"/>
        </w:numPr>
        <w:spacing w:after="80"/>
      </w:pPr>
      <w:r>
        <w:rPr>
          <w:sz w:val="21"/>
          <w:szCs w:val="21"/>
        </w:rPr>
        <w:t xml:space="preserve">"software de gestão para condomínio", "software de gestão para síndico"</w:t>
      </w:r>
    </w:p>
    <w:p>
      <w:pPr>
        <w:pStyle w:val="ListParagraph"/>
        <w:numPr>
          <w:ilvl w:val="0"/>
          <w:numId w:val="1"/>
        </w:numPr>
        <w:spacing w:after="80"/>
      </w:pPr>
      <w:r>
        <w:rPr>
          <w:sz w:val="21"/>
          <w:szCs w:val="21"/>
        </w:rPr>
        <w:t xml:space="preserve">"como organizar as demandas do condomínio", "como organizar os prazos do condomínio"</w:t>
      </w:r>
    </w:p>
    <w:p>
      <w:pPr>
        <w:pStyle w:val="ListParagraph"/>
        <w:numPr>
          <w:ilvl w:val="0"/>
          <w:numId w:val="1"/>
        </w:numPr>
        <w:spacing w:after="80"/>
      </w:pPr>
      <w:r>
        <w:rPr>
          <w:sz w:val="21"/>
          <w:szCs w:val="21"/>
        </w:rPr>
        <w:t xml:space="preserve">"controle de obrigações do condomínio", "prazos de manutenção predial", "AVCB extintor vencimento condomínio"</w:t>
      </w:r>
    </w:p>
    <w:p>
      <w:pPr>
        <w:pStyle w:val="ListParagraph"/>
        <w:numPr>
          <w:ilvl w:val="0"/>
          <w:numId w:val="1"/>
        </w:numPr>
        <w:spacing w:after="80"/>
      </w:pPr>
      <w:r>
        <w:rPr>
          <w:sz w:val="21"/>
          <w:szCs w:val="21"/>
        </w:rPr>
        <w:t xml:space="preserve">"prestação de contas condomínio", "sistema financeiro para condomínio", "orçamento condomínio online"</w:t>
      </w:r>
    </w:p>
    <w:p>
      <w:pPr>
        <w:pStyle w:val="ListParagraph"/>
        <w:numPr>
          <w:ilvl w:val="0"/>
          <w:numId w:val="1"/>
        </w:numPr>
        <w:spacing w:after="80"/>
      </w:pPr>
      <w:r>
        <w:rPr>
          <w:sz w:val="21"/>
          <w:szCs w:val="21"/>
        </w:rPr>
        <w:t xml:space="preserve">"sistema para administradora de condomínios", "gestão de carteira de condomínios", "software para administradora de condomínio"</w:t>
      </w:r>
    </w:p>
    <w:p>
      <w:pPr>
        <w:spacing w:after="160"/>
      </w:pPr>
      <w:r>
        <w:rPr>
          <w:sz w:val="21"/>
          <w:szCs w:val="21"/>
        </w:rPr>
        <w:t xml:space="preserve">Não ficou claro se existe muito volume de busca para termos do tipo "como organizar as demandas/prazos do condomínio" — são mais uma aposta de cauda longa (comportamento de busca de quem ainda nem sabe que existe um software para isso) do que um termo consolidado; vale testar com orçamento baixo e cortar se não performar.</w:t>
      </w:r>
    </w:p>
    <w:p>
      <w:pPr>
        <w:pStyle w:val="ListParagraph"/>
        <w:numPr>
          <w:ilvl w:val="0"/>
          <w:numId w:val="1"/>
        </w:numPr>
        <w:spacing w:after="80"/>
      </w:pPr>
      <w:r>
        <w:rPr>
          <w:b/>
          <w:bCs/>
          <w:sz w:val="21"/>
          <w:szCs w:val="21"/>
        </w:rPr>
        <w:t xml:space="preserve">Tipo de correspondência:</w:t>
      </w:r>
      <w:r>
        <w:rPr>
          <w:sz w:val="21"/>
          <w:szCs w:val="21"/>
        </w:rPr>
        <w:t xml:space="preserve"> frase e ampla com sinais de público, evitando termos amplos demais.</w:t>
      </w:r>
    </w:p>
    <w:p>
      <w:pPr>
        <w:pStyle w:val="ListParagraph"/>
        <w:numPr>
          <w:ilvl w:val="0"/>
          <w:numId w:val="1"/>
        </w:numPr>
        <w:spacing w:after="80"/>
      </w:pPr>
      <w:r>
        <w:rPr>
          <w:b/>
          <w:bCs/>
          <w:sz w:val="21"/>
          <w:szCs w:val="21"/>
        </w:rPr>
        <w:t xml:space="preserve">Negativação — atenção especial, por ser verba pequena:</w:t>
      </w:r>
      <w:r>
        <w:rPr>
          <w:sz w:val="21"/>
          <w:szCs w:val="21"/>
        </w:rPr>
        <w:t xml:space="preserve"> termos de emprego ("vaga síndico", "concurso", "salário síndico", "emprego síndico", "contratar síndico"), termos de outros segmentos (ex.: "seguro residencial" isolado, que não é o produto), termos de "grátis" descolados de contexto. Como a verba é curta, cada clique desperdiçado em gente procurando emprego pesa proporcionalmente mais — vale revisar o relatório de termos de pesquisa nos primeiros dias e negativar rápido o que não for intenção de compra/uso do produto.</w:t>
      </w:r>
    </w:p>
    <w:p>
      <w:pPr>
        <w:spacing w:after="80"/>
      </w:pPr>
      <w:r>
        <w:rPr>
          <w:i/>
          <w:iCs/>
          <w:color w:val="555555"/>
          <w:sz w:val="18"/>
          <w:szCs w:val="18"/>
        </w:rPr>
        <w:t xml:space="preserve">Volume de busca médio mensal (Brasil) — estimativa de referência</w:t>
      </w:r>
    </w:p>
    <w:p>
      <w:pPr>
        <w:spacing w:after="160"/>
      </w:pPr>
      <w:r>
        <w:rPr>
          <w:sz w:val="21"/>
          <w:szCs w:val="21"/>
        </w:rPr>
        <w:t xml:space="preserve">Estimativas aproximadas com base no comportamento típico desse nicho, para orientar a priorização. Como o termo "Portal do Síndico" é de marca própria (baixo ou nenhum histórico de busca ainda), o volume real precisa ser conferido no Planejador de Palavras-chave do Google Ads antes de travar o orçamento — ele é a fonte oficial e vai mostrar o número exato por termo e por região.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shd w:fill="1c2b4a" w:val="clear"/>
          </w:tcPr>
          <w:p>
            <w:r>
              <w:rPr>
                <w:b/>
                <w:bCs/>
                <w:color w:val="FFFFFF"/>
                <w:sz w:val="19"/>
                <w:szCs w:val="19"/>
              </w:rPr>
              <w:t xml:space="preserve">Palavra-chave</w:t>
            </w:r>
          </w:p>
        </w:tc>
        <w:tc>
          <w:tcPr>
            <w:tcW w:type="dxa" w:w="3008"/>
            <w:shd w:fill="1c2b4a" w:val="clear"/>
          </w:tcPr>
          <w:p>
            <w:r>
              <w:rPr>
                <w:b/>
                <w:bCs/>
                <w:color w:val="FFFFFF"/>
                <w:sz w:val="19"/>
                <w:szCs w:val="19"/>
              </w:rPr>
              <w:t xml:space="preserve">Volume médio mensal estimado</w:t>
            </w:r>
          </w:p>
        </w:tc>
        <w:tc>
          <w:tcPr>
            <w:tcW w:type="dxa" w:w="3008"/>
            <w:shd w:fill="1c2b4a" w:val="clear"/>
          </w:tcPr>
          <w:p>
            <w:r>
              <w:rPr>
                <w:b/>
                <w:bCs/>
                <w:color w:val="FFFFFF"/>
                <w:sz w:val="19"/>
                <w:szCs w:val="19"/>
              </w:rPr>
              <w:t xml:space="preserve">Observação</w:t>
            </w:r>
          </w:p>
        </w:tc>
      </w:tr>
      <w:tr>
        <w:tc>
          <w:tcPr>
            <w:tcW w:type="dxa" w:w="3008"/>
          </w:tcPr>
          <w:p>
            <w:r>
              <w:rPr>
                <w:b w:val="false"/>
                <w:bCs w:val="false"/>
                <w:color w:val="000000"/>
                <w:sz w:val="19"/>
                <w:szCs w:val="19"/>
              </w:rPr>
              <w:t xml:space="preserve">sistema para síndico</w:t>
            </w:r>
          </w:p>
        </w:tc>
        <w:tc>
          <w:tcPr>
            <w:tcW w:type="dxa" w:w="3008"/>
          </w:tcPr>
          <w:p>
            <w:r>
              <w:rPr>
                <w:b w:val="false"/>
                <w:bCs w:val="false"/>
                <w:color w:val="000000"/>
                <w:sz w:val="19"/>
                <w:szCs w:val="19"/>
              </w:rPr>
              <w:t xml:space="preserve">100–1.000</w:t>
            </w:r>
          </w:p>
        </w:tc>
        <w:tc>
          <w:tcPr>
            <w:tcW w:type="dxa" w:w="3008"/>
          </w:tcPr>
          <w:p>
            <w:r>
              <w:rPr>
                <w:b w:val="false"/>
                <w:bCs w:val="false"/>
                <w:color w:val="000000"/>
                <w:sz w:val="19"/>
                <w:szCs w:val="19"/>
              </w:rPr>
              <w:t xml:space="preserve">Termo de maior potencial, intenção direta</w:t>
            </w:r>
          </w:p>
        </w:tc>
      </w:tr>
      <w:tr>
        <w:tc>
          <w:tcPr>
            <w:tcW w:type="dxa" w:w="3008"/>
          </w:tcPr>
          <w:p>
            <w:r>
              <w:rPr>
                <w:b w:val="false"/>
                <w:bCs w:val="false"/>
                <w:color w:val="000000"/>
                <w:sz w:val="19"/>
                <w:szCs w:val="19"/>
              </w:rPr>
              <w:t xml:space="preserve">programa de gestão de condomínio</w:t>
            </w:r>
          </w:p>
        </w:tc>
        <w:tc>
          <w:tcPr>
            <w:tcW w:type="dxa" w:w="3008"/>
          </w:tcPr>
          <w:p>
            <w:r>
              <w:rPr>
                <w:b w:val="false"/>
                <w:bCs w:val="false"/>
                <w:color w:val="000000"/>
                <w:sz w:val="19"/>
                <w:szCs w:val="19"/>
              </w:rPr>
              <w:t xml:space="preserve">100–1.000</w:t>
            </w:r>
          </w:p>
        </w:tc>
        <w:tc>
          <w:tcPr>
            <w:tcW w:type="dxa" w:w="3008"/>
          </w:tcPr>
          <w:p>
            <w:r>
              <w:rPr>
                <w:b w:val="false"/>
                <w:bCs w:val="false"/>
                <w:color w:val="000000"/>
                <w:sz w:val="19"/>
                <w:szCs w:val="19"/>
              </w:rPr>
              <w:t xml:space="preserve">Boa intenção, público que já pesquisa solução</w:t>
            </w:r>
          </w:p>
        </w:tc>
      </w:tr>
      <w:tr>
        <w:tc>
          <w:tcPr>
            <w:tcW w:type="dxa" w:w="3008"/>
          </w:tcPr>
          <w:p>
            <w:r>
              <w:rPr>
                <w:b w:val="false"/>
                <w:bCs w:val="false"/>
                <w:color w:val="000000"/>
                <w:sz w:val="19"/>
                <w:szCs w:val="19"/>
              </w:rPr>
              <w:t xml:space="preserve">aplicativo para síndico</w:t>
            </w:r>
          </w:p>
        </w:tc>
        <w:tc>
          <w:tcPr>
            <w:tcW w:type="dxa" w:w="3008"/>
          </w:tcPr>
          <w:p>
            <w:r>
              <w:rPr>
                <w:b w:val="false"/>
                <w:bCs w:val="false"/>
                <w:color w:val="000000"/>
                <w:sz w:val="19"/>
                <w:szCs w:val="19"/>
              </w:rPr>
              <w:t xml:space="preserve">100–1.000</w:t>
            </w:r>
          </w:p>
        </w:tc>
        <w:tc>
          <w:tcPr>
            <w:tcW w:type="dxa" w:w="3008"/>
          </w:tcPr>
          <w:p>
            <w:r>
              <w:rPr>
                <w:b w:val="false"/>
                <w:bCs w:val="false"/>
                <w:color w:val="000000"/>
                <w:sz w:val="19"/>
                <w:szCs w:val="19"/>
              </w:rPr>
              <w:t xml:space="preserve">Formato "aplicativo" tem busca consistente</w:t>
            </w:r>
          </w:p>
        </w:tc>
      </w:tr>
      <w:tr>
        <w:tc>
          <w:tcPr>
            <w:tcW w:type="dxa" w:w="3008"/>
          </w:tcPr>
          <w:p>
            <w:r>
              <w:rPr>
                <w:b w:val="false"/>
                <w:bCs w:val="false"/>
                <w:color w:val="000000"/>
                <w:sz w:val="19"/>
                <w:szCs w:val="19"/>
              </w:rPr>
              <w:t xml:space="preserve">software de gestão para condomínio</w:t>
            </w:r>
          </w:p>
        </w:tc>
        <w:tc>
          <w:tcPr>
            <w:tcW w:type="dxa" w:w="3008"/>
          </w:tcPr>
          <w:p>
            <w:r>
              <w:rPr>
                <w:b w:val="false"/>
                <w:bCs w:val="false"/>
                <w:color w:val="000000"/>
                <w:sz w:val="19"/>
                <w:szCs w:val="19"/>
              </w:rPr>
              <w:t xml:space="preserve">100–1.000</w:t>
            </w:r>
          </w:p>
        </w:tc>
        <w:tc>
          <w:tcPr>
            <w:tcW w:type="dxa" w:w="3008"/>
          </w:tcPr>
          <w:p>
            <w:r>
              <w:rPr>
                <w:b w:val="false"/>
                <w:bCs w:val="false"/>
                <w:color w:val="000000"/>
                <w:sz w:val="19"/>
                <w:szCs w:val="19"/>
              </w:rPr>
              <w:t xml:space="preserve">Variação direta de "sistema", bom volume esperado</w:t>
            </w:r>
          </w:p>
        </w:tc>
      </w:tr>
      <w:tr>
        <w:tc>
          <w:tcPr>
            <w:tcW w:type="dxa" w:w="3008"/>
          </w:tcPr>
          <w:p>
            <w:r>
              <w:rPr>
                <w:b w:val="false"/>
                <w:bCs w:val="false"/>
                <w:color w:val="000000"/>
                <w:sz w:val="19"/>
                <w:szCs w:val="19"/>
              </w:rPr>
              <w:t xml:space="preserve">software de gestão para síndico</w:t>
            </w:r>
          </w:p>
        </w:tc>
        <w:tc>
          <w:tcPr>
            <w:tcW w:type="dxa" w:w="3008"/>
          </w:tcPr>
          <w:p>
            <w:r>
              <w:rPr>
                <w:b w:val="false"/>
                <w:bCs w:val="false"/>
                <w:color w:val="000000"/>
                <w:sz w:val="19"/>
                <w:szCs w:val="19"/>
              </w:rPr>
              <w:t xml:space="preserve">10–100</w:t>
            </w:r>
          </w:p>
        </w:tc>
        <w:tc>
          <w:tcPr>
            <w:tcW w:type="dxa" w:w="3008"/>
          </w:tcPr>
          <w:p>
            <w:r>
              <w:rPr>
                <w:b w:val="false"/>
                <w:bCs w:val="false"/>
                <w:color w:val="000000"/>
                <w:sz w:val="19"/>
                <w:szCs w:val="19"/>
              </w:rPr>
              <w:t xml:space="preserve">Mais específico que o anterior</w:t>
            </w:r>
          </w:p>
        </w:tc>
      </w:tr>
      <w:tr>
        <w:tc>
          <w:tcPr>
            <w:tcW w:type="dxa" w:w="3008"/>
          </w:tcPr>
          <w:p>
            <w:r>
              <w:rPr>
                <w:b w:val="false"/>
                <w:bCs w:val="false"/>
                <w:color w:val="000000"/>
                <w:sz w:val="19"/>
                <w:szCs w:val="19"/>
              </w:rPr>
              <w:t xml:space="preserve">gestão de condomínio sistema online</w:t>
            </w:r>
          </w:p>
        </w:tc>
        <w:tc>
          <w:tcPr>
            <w:tcW w:type="dxa" w:w="3008"/>
          </w:tcPr>
          <w:p>
            <w:r>
              <w:rPr>
                <w:b w:val="false"/>
                <w:bCs w:val="false"/>
                <w:color w:val="000000"/>
                <w:sz w:val="19"/>
                <w:szCs w:val="19"/>
              </w:rPr>
              <w:t xml:space="preserve">10–100</w:t>
            </w:r>
          </w:p>
        </w:tc>
        <w:tc>
          <w:tcPr>
            <w:tcW w:type="dxa" w:w="3008"/>
          </w:tcPr>
          <w:p>
            <w:r>
              <w:rPr>
                <w:b w:val="false"/>
                <w:bCs w:val="false"/>
                <w:color w:val="000000"/>
                <w:sz w:val="19"/>
                <w:szCs w:val="19"/>
              </w:rPr>
              <w:t xml:space="preserve">Cauda um pouco mais longa, qualificada</w:t>
            </w:r>
          </w:p>
        </w:tc>
      </w:tr>
      <w:tr>
        <w:tc>
          <w:tcPr>
            <w:tcW w:type="dxa" w:w="3008"/>
          </w:tcPr>
          <w:p>
            <w:r>
              <w:rPr>
                <w:b w:val="false"/>
                <w:bCs w:val="false"/>
                <w:color w:val="000000"/>
                <w:sz w:val="19"/>
                <w:szCs w:val="19"/>
              </w:rPr>
              <w:t xml:space="preserve">prestação de contas condomínio</w:t>
            </w:r>
          </w:p>
        </w:tc>
        <w:tc>
          <w:tcPr>
            <w:tcW w:type="dxa" w:w="3008"/>
          </w:tcPr>
          <w:p>
            <w:r>
              <w:rPr>
                <w:b w:val="false"/>
                <w:bCs w:val="false"/>
                <w:color w:val="000000"/>
                <w:sz w:val="19"/>
                <w:szCs w:val="19"/>
              </w:rPr>
              <w:t xml:space="preserve">100–1.000</w:t>
            </w:r>
          </w:p>
        </w:tc>
        <w:tc>
          <w:tcPr>
            <w:tcW w:type="dxa" w:w="3008"/>
          </w:tcPr>
          <w:p>
            <w:r>
              <w:rPr>
                <w:b w:val="false"/>
                <w:bCs w:val="false"/>
                <w:color w:val="000000"/>
                <w:sz w:val="19"/>
                <w:szCs w:val="19"/>
              </w:rPr>
              <w:t xml:space="preserve">Alto volume, mas intenção mais informacional — vale testar</w:t>
            </w:r>
          </w:p>
        </w:tc>
      </w:tr>
      <w:tr>
        <w:tc>
          <w:tcPr>
            <w:tcW w:type="dxa" w:w="3008"/>
          </w:tcPr>
          <w:p>
            <w:r>
              <w:rPr>
                <w:b w:val="false"/>
                <w:bCs w:val="false"/>
                <w:color w:val="000000"/>
                <w:sz w:val="19"/>
                <w:szCs w:val="19"/>
              </w:rPr>
              <w:t xml:space="preserve">sistema financeiro para condomínio</w:t>
            </w:r>
          </w:p>
        </w:tc>
        <w:tc>
          <w:tcPr>
            <w:tcW w:type="dxa" w:w="3008"/>
          </w:tcPr>
          <w:p>
            <w:r>
              <w:rPr>
                <w:b w:val="false"/>
                <w:bCs w:val="false"/>
                <w:color w:val="000000"/>
                <w:sz w:val="19"/>
                <w:szCs w:val="19"/>
              </w:rPr>
              <w:t xml:space="preserve">10–100</w:t>
            </w:r>
          </w:p>
        </w:tc>
        <w:tc>
          <w:tcPr>
            <w:tcW w:type="dxa" w:w="3008"/>
          </w:tcPr>
          <w:p>
            <w:r>
              <w:rPr>
                <w:b w:val="false"/>
                <w:bCs w:val="false"/>
                <w:color w:val="000000"/>
                <w:sz w:val="19"/>
                <w:szCs w:val="19"/>
              </w:rPr>
              <w:t xml:space="preserve">Intenção específica, público profissional</w:t>
            </w:r>
          </w:p>
        </w:tc>
      </w:tr>
      <w:tr>
        <w:tc>
          <w:tcPr>
            <w:tcW w:type="dxa" w:w="3008"/>
          </w:tcPr>
          <w:p>
            <w:r>
              <w:rPr>
                <w:b w:val="false"/>
                <w:bCs w:val="false"/>
                <w:color w:val="000000"/>
                <w:sz w:val="19"/>
                <w:szCs w:val="19"/>
              </w:rPr>
              <w:t xml:space="preserve">controle de obrigações do condomínio</w:t>
            </w:r>
          </w:p>
        </w:tc>
        <w:tc>
          <w:tcPr>
            <w:tcW w:type="dxa" w:w="3008"/>
          </w:tcPr>
          <w:p>
            <w:r>
              <w:rPr>
                <w:b w:val="false"/>
                <w:bCs w:val="false"/>
                <w:color w:val="000000"/>
                <w:sz w:val="19"/>
                <w:szCs w:val="19"/>
              </w:rPr>
              <w:t xml:space="preserve">10–100</w:t>
            </w:r>
          </w:p>
        </w:tc>
        <w:tc>
          <w:tcPr>
            <w:tcW w:type="dxa" w:w="3008"/>
          </w:tcPr>
          <w:p>
            <w:r>
              <w:rPr>
                <w:b w:val="false"/>
                <w:bCs w:val="false"/>
                <w:color w:val="000000"/>
                <w:sz w:val="19"/>
                <w:szCs w:val="19"/>
              </w:rPr>
              <w:t xml:space="preserve">Cauda longa, baixo volume mas alta qualificação</w:t>
            </w:r>
          </w:p>
        </w:tc>
      </w:tr>
      <w:tr>
        <w:tc>
          <w:tcPr>
            <w:tcW w:type="dxa" w:w="3008"/>
          </w:tcPr>
          <w:p>
            <w:r>
              <w:rPr>
                <w:b w:val="false"/>
                <w:bCs w:val="false"/>
                <w:color w:val="000000"/>
                <w:sz w:val="19"/>
                <w:szCs w:val="19"/>
              </w:rPr>
              <w:t xml:space="preserve">AVCB extintor vencimento condomínio</w:t>
            </w:r>
          </w:p>
        </w:tc>
        <w:tc>
          <w:tcPr>
            <w:tcW w:type="dxa" w:w="3008"/>
          </w:tcPr>
          <w:p>
            <w:r>
              <w:rPr>
                <w:b w:val="false"/>
                <w:bCs w:val="false"/>
                <w:color w:val="000000"/>
                <w:sz w:val="19"/>
                <w:szCs w:val="19"/>
              </w:rPr>
              <w:t xml:space="preserve">10–100</w:t>
            </w:r>
          </w:p>
        </w:tc>
        <w:tc>
          <w:tcPr>
            <w:tcW w:type="dxa" w:w="3008"/>
          </w:tcPr>
          <w:p>
            <w:r>
              <w:rPr>
                <w:b w:val="false"/>
                <w:bCs w:val="false"/>
                <w:color w:val="000000"/>
                <w:sz w:val="19"/>
                <w:szCs w:val="19"/>
              </w:rPr>
              <w:t xml:space="preserve">Muito específico, custo por clique tende a ser baixo</w:t>
            </w:r>
          </w:p>
        </w:tc>
      </w:tr>
      <w:tr>
        <w:tc>
          <w:tcPr>
            <w:tcW w:type="dxa" w:w="3008"/>
          </w:tcPr>
          <w:p>
            <w:r>
              <w:rPr>
                <w:b w:val="false"/>
                <w:bCs w:val="false"/>
                <w:color w:val="000000"/>
                <w:sz w:val="19"/>
                <w:szCs w:val="19"/>
              </w:rPr>
              <w:t xml:space="preserve">sistema para administradora de condomínios</w:t>
            </w:r>
          </w:p>
        </w:tc>
        <w:tc>
          <w:tcPr>
            <w:tcW w:type="dxa" w:w="3008"/>
          </w:tcPr>
          <w:p>
            <w:r>
              <w:rPr>
                <w:b w:val="false"/>
                <w:bCs w:val="false"/>
                <w:color w:val="000000"/>
                <w:sz w:val="19"/>
                <w:szCs w:val="19"/>
              </w:rPr>
              <w:t xml:space="preserve">10–100</w:t>
            </w:r>
          </w:p>
        </w:tc>
        <w:tc>
          <w:tcPr>
            <w:tcW w:type="dxa" w:w="3008"/>
          </w:tcPr>
          <w:p>
            <w:r>
              <w:rPr>
                <w:b w:val="false"/>
                <w:bCs w:val="false"/>
                <w:color w:val="000000"/>
                <w:sz w:val="19"/>
                <w:szCs w:val="19"/>
              </w:rPr>
              <w:t xml:space="preserve">Público profissional/administradoras</w:t>
            </w:r>
          </w:p>
        </w:tc>
      </w:tr>
      <w:tr>
        <w:tc>
          <w:tcPr>
            <w:tcW w:type="dxa" w:w="3008"/>
          </w:tcPr>
          <w:p>
            <w:r>
              <w:rPr>
                <w:b w:val="false"/>
                <w:bCs w:val="false"/>
                <w:color w:val="000000"/>
                <w:sz w:val="19"/>
                <w:szCs w:val="19"/>
              </w:rPr>
              <w:t xml:space="preserve">gestão de carteira de condomínios</w:t>
            </w:r>
          </w:p>
        </w:tc>
        <w:tc>
          <w:tcPr>
            <w:tcW w:type="dxa" w:w="3008"/>
          </w:tcPr>
          <w:p>
            <w:r>
              <w:rPr>
                <w:b w:val="false"/>
                <w:bCs w:val="false"/>
                <w:color w:val="000000"/>
                <w:sz w:val="19"/>
                <w:szCs w:val="19"/>
              </w:rPr>
              <w:t xml:space="preserve">10–100</w:t>
            </w:r>
          </w:p>
        </w:tc>
        <w:tc>
          <w:tcPr>
            <w:tcW w:type="dxa" w:w="3008"/>
          </w:tcPr>
          <w:p>
            <w:r>
              <w:rPr>
                <w:b w:val="false"/>
                <w:bCs w:val="false"/>
                <w:color w:val="000000"/>
                <w:sz w:val="19"/>
                <w:szCs w:val="19"/>
              </w:rPr>
              <w:t xml:space="preserve">Público profissional/administradoras</w:t>
            </w:r>
          </w:p>
        </w:tc>
      </w:tr>
      <w:tr>
        <w:tc>
          <w:tcPr>
            <w:tcW w:type="dxa" w:w="3008"/>
          </w:tcPr>
          <w:p>
            <w:r>
              <w:rPr>
                <w:b w:val="false"/>
                <w:bCs w:val="false"/>
                <w:color w:val="000000"/>
                <w:sz w:val="19"/>
                <w:szCs w:val="19"/>
              </w:rPr>
              <w:t xml:space="preserve">como organizar as demandas do condomínio</w:t>
            </w:r>
          </w:p>
        </w:tc>
        <w:tc>
          <w:tcPr>
            <w:tcW w:type="dxa" w:w="3008"/>
          </w:tcPr>
          <w:p>
            <w:r>
              <w:rPr>
                <w:b w:val="false"/>
                <w:bCs w:val="false"/>
                <w:color w:val="000000"/>
                <w:sz w:val="19"/>
                <w:szCs w:val="19"/>
              </w:rPr>
              <w:t xml:space="preserve">10–100 ou menos</w:t>
            </w:r>
          </w:p>
        </w:tc>
        <w:tc>
          <w:tcPr>
            <w:tcW w:type="dxa" w:w="3008"/>
          </w:tcPr>
          <w:p>
            <w:r>
              <w:rPr>
                <w:b w:val="false"/>
                <w:bCs w:val="false"/>
                <w:color w:val="000000"/>
                <w:sz w:val="19"/>
                <w:szCs w:val="19"/>
              </w:rPr>
              <w:t xml:space="preserve">Cauda muito longa, volume incerto, testar com cautela</w:t>
            </w:r>
          </w:p>
        </w:tc>
      </w:tr>
      <w:tr>
        <w:tc>
          <w:tcPr>
            <w:tcW w:type="dxa" w:w="3008"/>
          </w:tcPr>
          <w:p>
            <w:r>
              <w:rPr>
                <w:b w:val="false"/>
                <w:bCs w:val="false"/>
                <w:color w:val="000000"/>
                <w:sz w:val="19"/>
                <w:szCs w:val="19"/>
              </w:rPr>
              <w:t xml:space="preserve">como organizar os prazos do condomínio</w:t>
            </w:r>
          </w:p>
        </w:tc>
        <w:tc>
          <w:tcPr>
            <w:tcW w:type="dxa" w:w="3008"/>
          </w:tcPr>
          <w:p>
            <w:r>
              <w:rPr>
                <w:b w:val="false"/>
                <w:bCs w:val="false"/>
                <w:color w:val="000000"/>
                <w:sz w:val="19"/>
                <w:szCs w:val="19"/>
              </w:rPr>
              <w:t xml:space="preserve">10–100 ou menos</w:t>
            </w:r>
          </w:p>
        </w:tc>
        <w:tc>
          <w:tcPr>
            <w:tcW w:type="dxa" w:w="3008"/>
          </w:tcPr>
          <w:p>
            <w:r>
              <w:rPr>
                <w:b w:val="false"/>
                <w:bCs w:val="false"/>
                <w:color w:val="000000"/>
                <w:sz w:val="19"/>
                <w:szCs w:val="19"/>
              </w:rPr>
              <w:t xml:space="preserve">Mesma observação acima</w:t>
            </w:r>
          </w:p>
        </w:tc>
      </w:tr>
      <w:tr>
        <w:tc>
          <w:tcPr>
            <w:tcW w:type="dxa" w:w="3008"/>
          </w:tcPr>
          <w:p>
            <w:r>
              <w:rPr>
                <w:b w:val="false"/>
                <w:bCs w:val="false"/>
                <w:color w:val="000000"/>
                <w:sz w:val="19"/>
                <w:szCs w:val="19"/>
              </w:rPr>
              <w:t xml:space="preserve">portal do síndico</w:t>
            </w:r>
          </w:p>
        </w:tc>
        <w:tc>
          <w:tcPr>
            <w:tcW w:type="dxa" w:w="3008"/>
          </w:tcPr>
          <w:p>
            <w:r>
              <w:rPr>
                <w:b w:val="false"/>
                <w:bCs w:val="false"/>
                <w:color w:val="000000"/>
                <w:sz w:val="19"/>
                <w:szCs w:val="19"/>
              </w:rPr>
              <w:t xml:space="preserve">— (marca própria)</w:t>
            </w:r>
          </w:p>
        </w:tc>
        <w:tc>
          <w:tcPr>
            <w:tcW w:type="dxa" w:w="3008"/>
          </w:tcPr>
          <w:p>
            <w:r>
              <w:rPr>
                <w:b w:val="false"/>
                <w:bCs w:val="false"/>
                <w:color w:val="000000"/>
                <w:sz w:val="19"/>
                <w:szCs w:val="19"/>
              </w:rPr>
              <w:t xml:space="preserve">Monitorar depois que a campanha de autoridade/orgânico rodar; tende a crescer com o reconhecimento do nome</w:t>
            </w:r>
          </w:p>
        </w:tc>
      </w:tr>
    </w:tbl>
    <w:p>
      <w:pPr>
        <w:spacing w:after="160"/>
      </w:pPr>
    </w:p>
    <w:p>
      <w:pPr>
        <w:spacing w:after="160"/>
      </w:pPr>
      <w:r>
        <w:rPr>
          <w:b/>
          <w:bCs/>
          <w:sz w:val="21"/>
          <w:szCs w:val="21"/>
        </w:rPr>
        <w:t xml:space="preserve">Como priorizar o orçamento:</w:t>
      </w:r>
      <w:r>
        <w:rPr>
          <w:sz w:val="21"/>
          <w:szCs w:val="21"/>
        </w:rPr>
        <w:t xml:space="preserve"> concentrar o investimento nos termos de maior volume e intenção direta (sistema para síndico, programa de gestão de condomínio, aplicativo para síndico, software de gestão para condomínio), com uma fatia menor nos termos de cauda longa, que custam menos por clique e tendem a converter melhor por já virem com a dor bem definida — e cortar rápido os termos de cauda longa que não gerarem clique relevante nos primeiros dias, já que a verba é curta.</w:t>
      </w:r>
    </w:p>
    <w:p>
      <w:pPr>
        <w:spacing w:after="160"/>
      </w:pPr>
      <w:r>
        <w:rPr>
          <w:b/>
          <w:bCs/>
          <w:sz w:val="21"/>
          <w:szCs w:val="21"/>
        </w:rPr>
        <w:t xml:space="preserve">Sobre Performance Max:</w:t>
      </w:r>
      <w:r>
        <w:rPr>
          <w:sz w:val="21"/>
          <w:szCs w:val="21"/>
        </w:rPr>
        <w:t xml:space="preserve"> com uma verba desse tamanho, não compensa abrir uma segunda campanha em outro formato — ela competiria pelo mesmo orçamento e tornaria mais lento o aprendizado de ambas. Fica só a campanha de Pesquisa.</w:t>
      </w:r>
    </w:p>
    <w:p>
      <w:pPr>
        <w:pBdr>
          <w:bottom w:val="single" w:color="cccccc" w:sz="6" w:space="4"/>
        </w:pBdr>
        <w:spacing w:after="200"/>
      </w:pPr>
    </w:p>
    <w:p>
      <w:pPr>
        <w:pStyle w:val="Heading2"/>
        <w:keepNext/>
        <w:spacing w:after="150" w:before="300"/>
      </w:pPr>
      <w:r>
        <w:t xml:space="preserve">5. Anúncios (texto, com o nome Portal do Síndico)</w:t>
      </w:r>
    </w:p>
    <w:p>
      <w:pPr>
        <w:spacing w:after="80"/>
      </w:pPr>
      <w:r>
        <w:rPr>
          <w:i/>
          <w:iCs/>
          <w:color w:val="555555"/>
          <w:sz w:val="18"/>
          <w:szCs w:val="18"/>
        </w:rPr>
        <w:t xml:space="preserve">Título de exemplo:</w:t>
      </w:r>
    </w:p>
    <w:p>
      <w:pPr>
        <w:spacing w:after="160"/>
      </w:pPr>
      <w:r>
        <w:rPr>
          <w:sz w:val="21"/>
          <w:szCs w:val="21"/>
        </w:rPr>
        <w:t xml:space="preserve">"Portal do Síndico | Eleva" / "Gestão de Condomínio Mais Simples" / "Nunca Mais Perca um Prazo" / "Teste Grátis por 60 Dias"</w:t>
      </w:r>
    </w:p>
    <w:p>
      <w:pPr>
        <w:spacing w:after="80"/>
      </w:pPr>
      <w:r>
        <w:rPr>
          <w:i/>
          <w:iCs/>
          <w:color w:val="555555"/>
          <w:sz w:val="18"/>
          <w:szCs w:val="18"/>
        </w:rPr>
        <w:t xml:space="preserve">Descrição de exemplo:</w:t>
      </w:r>
    </w:p>
    <w:p>
      <w:pPr>
        <w:spacing w:after="160"/>
      </w:pPr>
      <w:r>
        <w:rPr>
          <w:sz w:val="21"/>
          <w:szCs w:val="21"/>
        </w:rPr>
        <w:t xml:space="preserve">"Organize prazos, prestação de contas e obrigações do condomínio em um só lugar. Teste grátis por 60 dias, sem cartão de crédito."</w:t>
      </w:r>
    </w:p>
    <w:p>
      <w:pPr>
        <w:spacing w:after="160"/>
      </w:pPr>
      <w:r>
        <w:rPr>
          <w:b/>
          <w:bCs/>
          <w:sz w:val="21"/>
          <w:szCs w:val="21"/>
        </w:rPr>
        <w:t xml:space="preserve">CTA:</w:t>
      </w:r>
      <w:r>
        <w:rPr>
          <w:sz w:val="21"/>
          <w:szCs w:val="21"/>
        </w:rPr>
        <w:t xml:space="preserve"> "Começar teste grátis" (mesmo texto do botão da página, para manter consistência).</w:t>
      </w:r>
    </w:p>
    <w:p>
      <w:pPr>
        <w:pBdr>
          <w:bottom w:val="single" w:color="cccccc" w:sz="6" w:space="4"/>
        </w:pBdr>
        <w:spacing w:after="200"/>
      </w:pPr>
    </w:p>
    <w:p>
      <w:pPr>
        <w:pStyle w:val="Heading2"/>
        <w:keepNext/>
        <w:spacing w:after="150" w:before="300"/>
      </w:pPr>
      <w:r>
        <w:t xml:space="preserve">6. Conversões</w:t>
      </w:r>
    </w:p>
    <w:p>
      <w:pPr>
        <w:pStyle w:val="ListParagraph"/>
        <w:numPr>
          <w:ilvl w:val="0"/>
          <w:numId w:val="1"/>
        </w:numPr>
        <w:spacing w:after="80"/>
      </w:pPr>
      <w:r>
        <w:rPr>
          <w:b/>
          <w:bCs/>
          <w:sz w:val="21"/>
          <w:szCs w:val="21"/>
        </w:rPr>
        <w:t xml:space="preserve">Conversão principal:</w:t>
      </w:r>
      <w:r>
        <w:rPr>
          <w:sz w:val="21"/>
          <w:szCs w:val="21"/>
        </w:rPr>
        <w:t xml:space="preserve"> cadastro concluído no teste grátis (evento no portal.elevags.com.br), alinhada ao que já foi pedido na medição.</w:t>
      </w:r>
    </w:p>
    <w:p>
      <w:pPr>
        <w:pStyle w:val="ListParagraph"/>
        <w:numPr>
          <w:ilvl w:val="0"/>
          <w:numId w:val="1"/>
        </w:numPr>
        <w:spacing w:after="80"/>
      </w:pPr>
      <w:r>
        <w:rPr>
          <w:b/>
          <w:bCs/>
          <w:sz w:val="21"/>
          <w:szCs w:val="21"/>
        </w:rPr>
        <w:t xml:space="preserve">Conversão secundária:</w:t>
      </w:r>
      <w:r>
        <w:rPr>
          <w:sz w:val="21"/>
          <w:szCs w:val="21"/>
        </w:rPr>
        <w:t xml:space="preserve"> envio do formulário de contato da página de destino, marcada como secundária para não competir na otimização de lance com o cadastro.</w:t>
      </w:r>
    </w:p>
    <w:p>
      <w:pPr>
        <w:pStyle w:val="ListParagraph"/>
        <w:numPr>
          <w:ilvl w:val="0"/>
          <w:numId w:val="1"/>
        </w:numPr>
        <w:spacing w:after="80"/>
      </w:pPr>
      <w:r>
        <w:rPr>
          <w:sz w:val="21"/>
          <w:szCs w:val="21"/>
        </w:rPr>
        <w:t xml:space="preserve">Campanha só entra no ar depois do print confirmando "Gravando conversões" para as duas, conforme o próprio pedido do Giuliano.</w:t>
      </w:r>
    </w:p>
    <w:p>
      <w:pPr>
        <w:pBdr>
          <w:bottom w:val="single" w:color="cccccc" w:sz="6" w:space="4"/>
        </w:pBdr>
        <w:spacing w:after="200"/>
      </w:pPr>
    </w:p>
    <w:p>
      <w:pPr>
        <w:pStyle w:val="Heading2"/>
        <w:keepNext/>
        <w:spacing w:after="150" w:before="300"/>
      </w:pPr>
      <w:r>
        <w:t xml:space="preserve">7. Cronograma de ativação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shd w:fill="1c2b4a" w:val="clear"/>
          </w:tcPr>
          <w:p>
            <w:r>
              <w:rPr>
                <w:b/>
                <w:bCs/>
                <w:color w:val="FFFFFF"/>
                <w:sz w:val="19"/>
                <w:szCs w:val="19"/>
              </w:rPr>
              <w:t xml:space="preserve">Etapa</w:t>
            </w:r>
          </w:p>
        </w:tc>
        <w:tc>
          <w:tcPr>
            <w:tcW w:type="dxa" w:w="4513"/>
            <w:shd w:fill="1c2b4a" w:val="clear"/>
          </w:tcPr>
          <w:p>
            <w:r>
              <w:rPr>
                <w:b/>
                <w:bCs/>
                <w:color w:val="FFFFFF"/>
                <w:sz w:val="19"/>
                <w:szCs w:val="19"/>
              </w:rPr>
              <w:t xml:space="preserve">Quando</w:t>
            </w:r>
          </w:p>
        </w:tc>
      </w:tr>
      <w:tr>
        <w:tc>
          <w:tcPr>
            <w:tcW w:type="dxa" w:w="4513"/>
          </w:tcPr>
          <w:p>
            <w:r>
              <w:rPr>
                <w:b w:val="false"/>
                <w:bCs w:val="false"/>
                <w:color w:val="000000"/>
                <w:sz w:val="19"/>
                <w:szCs w:val="19"/>
              </w:rPr>
              <w:t xml:space="preserve">Medição instalada e validada (conversões "Gravando")</w:t>
            </w:r>
          </w:p>
        </w:tc>
        <w:tc>
          <w:tcPr>
            <w:tcW w:type="dxa" w:w="4513"/>
          </w:tcPr>
          <w:p>
            <w:r>
              <w:rPr>
                <w:b w:val="false"/>
                <w:bCs w:val="false"/>
                <w:color w:val="000000"/>
                <w:sz w:val="19"/>
                <w:szCs w:val="19"/>
              </w:rPr>
              <w:t xml:space="preserve">Antes de qualquer veiculação</w:t>
            </w:r>
          </w:p>
        </w:tc>
      </w:tr>
      <w:tr>
        <w:tc>
          <w:tcPr>
            <w:tcW w:type="dxa" w:w="4513"/>
          </w:tcPr>
          <w:p>
            <w:r>
              <w:rPr>
                <w:b w:val="false"/>
                <w:bCs w:val="false"/>
                <w:color w:val="000000"/>
                <w:sz w:val="19"/>
                <w:szCs w:val="19"/>
              </w:rPr>
              <w:t xml:space="preserve">Portal do Síndico com acesso totalmente liberado (fora da fase de antecipação/lista de espera)</w:t>
            </w:r>
          </w:p>
        </w:tc>
        <w:tc>
          <w:tcPr>
            <w:tcW w:type="dxa" w:w="4513"/>
          </w:tcPr>
          <w:p>
            <w:r>
              <w:rPr>
                <w:b w:val="false"/>
                <w:bCs w:val="false"/>
                <w:color w:val="000000"/>
                <w:sz w:val="19"/>
                <w:szCs w:val="19"/>
              </w:rPr>
              <w:t xml:space="preserve">Antes de publicar os anúncios</w:t>
            </w:r>
          </w:p>
        </w:tc>
      </w:tr>
      <w:tr>
        <w:tc>
          <w:tcPr>
            <w:tcW w:type="dxa" w:w="4513"/>
          </w:tcPr>
          <w:p>
            <w:r>
              <w:rPr>
                <w:b w:val="false"/>
                <w:bCs w:val="false"/>
                <w:color w:val="000000"/>
                <w:sz w:val="19"/>
                <w:szCs w:val="19"/>
              </w:rPr>
              <w:t xml:space="preserve">Ok final do Giuliano para ativar</w:t>
            </w:r>
          </w:p>
        </w:tc>
        <w:tc>
          <w:tcPr>
            <w:tcW w:type="dxa" w:w="4513"/>
          </w:tcPr>
          <w:p>
            <w:r>
              <w:rPr>
                <w:b w:val="false"/>
                <w:bCs w:val="false"/>
                <w:color w:val="000000"/>
                <w:sz w:val="19"/>
                <w:szCs w:val="19"/>
              </w:rPr>
              <w:t xml:space="preserve">Gatilho de início</w:t>
            </w:r>
          </w:p>
        </w:tc>
      </w:tr>
      <w:tr>
        <w:tc>
          <w:tcPr>
            <w:tcW w:type="dxa" w:w="4513"/>
          </w:tcPr>
          <w:p>
            <w:r>
              <w:rPr>
                <w:b w:val="false"/>
                <w:bCs w:val="false"/>
                <w:color w:val="000000"/>
                <w:sz w:val="19"/>
                <w:szCs w:val="19"/>
              </w:rPr>
              <w:t xml:space="preserve">Veiculação — 1ª metade</w:t>
            </w:r>
          </w:p>
        </w:tc>
        <w:tc>
          <w:tcPr>
            <w:tcW w:type="dxa" w:w="4513"/>
          </w:tcPr>
          <w:p>
            <w:r>
              <w:rPr>
                <w:b w:val="false"/>
                <w:bCs w:val="false"/>
                <w:color w:val="000000"/>
                <w:sz w:val="19"/>
                <w:szCs w:val="19"/>
              </w:rPr>
              <w:t xml:space="preserve">~15 dias, a partir do dia 13 ou 20/10 (data de lançamento)</w:t>
            </w:r>
          </w:p>
        </w:tc>
      </w:tr>
      <w:tr>
        <w:tc>
          <w:tcPr>
            <w:tcW w:type="dxa" w:w="4513"/>
          </w:tcPr>
          <w:p>
            <w:r>
              <w:rPr>
                <w:b w:val="false"/>
                <w:bCs w:val="false"/>
                <w:color w:val="000000"/>
                <w:sz w:val="19"/>
                <w:szCs w:val="19"/>
              </w:rPr>
              <w:t xml:space="preserve">Revisão de desempenho e ajuste de lance</w:t>
            </w:r>
          </w:p>
        </w:tc>
        <w:tc>
          <w:tcPr>
            <w:tcW w:type="dxa" w:w="4513"/>
          </w:tcPr>
          <w:p>
            <w:r>
              <w:rPr>
                <w:b w:val="false"/>
                <w:bCs w:val="false"/>
                <w:color w:val="000000"/>
                <w:sz w:val="19"/>
                <w:szCs w:val="19"/>
              </w:rPr>
              <w:t xml:space="preserve">Na virada de outubro para novembro</w:t>
            </w:r>
          </w:p>
        </w:tc>
      </w:tr>
      <w:tr>
        <w:tc>
          <w:tcPr>
            <w:tcW w:type="dxa" w:w="4513"/>
          </w:tcPr>
          <w:p>
            <w:r>
              <w:rPr>
                <w:b w:val="false"/>
                <w:bCs w:val="false"/>
                <w:color w:val="000000"/>
                <w:sz w:val="19"/>
                <w:szCs w:val="19"/>
              </w:rPr>
              <w:t xml:space="preserve">Veiculação — 2ª metade</w:t>
            </w:r>
          </w:p>
        </w:tc>
        <w:tc>
          <w:tcPr>
            <w:tcW w:type="dxa" w:w="4513"/>
          </w:tcPr>
          <w:p>
            <w:r>
              <w:rPr>
                <w:b w:val="false"/>
                <w:bCs w:val="false"/>
                <w:color w:val="000000"/>
                <w:sz w:val="19"/>
                <w:szCs w:val="19"/>
              </w:rPr>
              <w:t xml:space="preserve">~15 dias, seguindo em novembro</w:t>
            </w:r>
          </w:p>
        </w:tc>
      </w:tr>
      <w:tr>
        <w:tc>
          <w:tcPr>
            <w:tcW w:type="dxa" w:w="4513"/>
          </w:tcPr>
          <w:p>
            <w:r>
              <w:rPr>
                <w:b w:val="false"/>
                <w:bCs w:val="false"/>
                <w:color w:val="000000"/>
                <w:sz w:val="19"/>
                <w:szCs w:val="19"/>
              </w:rPr>
              <w:t xml:space="preserve">Relatório de resultados (cadastros gerados, CPA, CTR)</w:t>
            </w:r>
          </w:p>
        </w:tc>
        <w:tc>
          <w:tcPr>
            <w:tcW w:type="dxa" w:w="4513"/>
          </w:tcPr>
          <w:p>
            <w:r>
              <w:rPr>
                <w:b w:val="false"/>
                <w:bCs w:val="false"/>
                <w:color w:val="000000"/>
                <w:sz w:val="19"/>
                <w:szCs w:val="19"/>
              </w:rPr>
              <w:t xml:space="preserve">Ao fim da janela de orçamento (~30 dias corridos no total)</w:t>
            </w:r>
          </w:p>
        </w:tc>
      </w:tr>
    </w:tbl>
    <w:p>
      <w:pPr>
        <w:spacing w:after="160"/>
      </w:pPr>
    </w:p>
    <w:p>
      <w:pPr>
        <w:pBdr>
          <w:bottom w:val="single" w:color="cccccc" w:sz="6" w:space="4"/>
        </w:pBdr>
        <w:spacing w:after="200"/>
      </w:pPr>
    </w:p>
    <w:p>
      <w:pPr>
        <w:pStyle w:val="Heading2"/>
        <w:keepNext/>
        <w:spacing w:after="150" w:before="300"/>
      </w:pPr>
      <w:r>
        <w:t xml:space="preserve">8. Próximos passos</w:t>
      </w:r>
    </w:p>
    <w:p>
      <w:pPr>
        <w:pStyle w:val="ListParagraph"/>
        <w:numPr>
          <w:ilvl w:val="0"/>
          <w:numId w:val="2"/>
        </w:numPr>
        <w:spacing w:after="80"/>
      </w:pPr>
      <w:r>
        <w:rPr>
          <w:sz w:val="21"/>
          <w:szCs w:val="21"/>
        </w:rPr>
        <w:t xml:space="preserve">1. Validar com a agência/equipe técnica se a medição de conversões já está "Gravando conversões".</w:t>
      </w:r>
    </w:p>
    <w:p>
      <w:pPr>
        <w:pStyle w:val="ListParagraph"/>
        <w:numPr>
          <w:ilvl w:val="0"/>
          <w:numId w:val="2"/>
        </w:numPr>
        <w:spacing w:after="80"/>
      </w:pPr>
      <w:r>
        <w:rPr>
          <w:sz w:val="21"/>
          <w:szCs w:val="21"/>
        </w:rPr>
        <w:t xml:space="preserve">2. Conferir os volumes de busca reais no Planejador de Palavras-chave do Google Ads e ajustar a lista antes de publicar.</w:t>
      </w:r>
    </w:p>
    <w:p>
      <w:pPr>
        <w:pStyle w:val="ListParagraph"/>
        <w:numPr>
          <w:ilvl w:val="0"/>
          <w:numId w:val="2"/>
        </w:numPr>
        <w:spacing w:after="80"/>
      </w:pPr>
      <w:r>
        <w:rPr>
          <w:sz w:val="21"/>
          <w:szCs w:val="21"/>
        </w:rPr>
        <w:t xml:space="preserve">3. Aguardar o portal estar com acesso totalmente ativo (a antecipação segue só no orgânico) para publicar a campanha única de Pesquisa, com o orçamento de R$ 1.500 distribuído pelos ~30 dias (duas quinzenas, outubro e novembro).</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pPr>
    <w:rPr>
      <w:b/>
      <w:bCs/>
      <w:color w:val="1c2b4a"/>
      <w:sz w:val="32"/>
      <w:szCs w:val="32"/>
    </w:rPr>
  </w:style>
  <w:style w:type="paragraph" w:styleId="Heading2">
    <w:name w:val="Heading 2"/>
    <w:basedOn w:val="Normal"/>
    <w:next w:val="Normal"/>
    <w:pPr>
      <w:spacing w:after="150" w:before="300"/>
    </w:pPr>
    <w:rPr>
      <w:b/>
      <w:bCs/>
      <w:color w:val="1c2b4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2026-10-09T15:54:54.298Z</dcterms:created>
  <dcterms:modified xsi:type="dcterms:W3CDTF">2026-10-09T15:54:54.298Z</dcterms:modified>
</cp:coreProperties>
</file>

<file path=docProps/custom.xml><?xml version="1.0" encoding="utf-8"?>
<Properties xmlns="http://schemas.openxmlformats.org/officeDocument/2006/custom-properties" xmlns:vt="http://schemas.openxmlformats.org/officeDocument/2006/docPropsVTypes"/>
</file>