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Estratégia de Anúncios no Instagram (Meta Ads) — Lançamento do Portal do Síndico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Proposta de estrutura de campanha paga no Instagram/Meta para o lançamento do Portal do Síndico, complementar à estratégia de Google Ads (documento à parte).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Objetivo da campanha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Cadastro</w:t>
      </w:r>
      <w:r>
        <w:rPr>
          <w:sz w:val="21"/>
          <w:szCs w:val="21"/>
        </w:rPr>
        <w:t xml:space="preserve"> — a Meta tem esse objetivo nomeado diretamente ("Cadastros"/"Leads"), ao contrário do Google. A campanha leva a pessoa a se cadastrar no teste grátis de 60 dias, sem falar em preço. Não é venda direta: a conversão em cliente pagante só acontece depois dos 60 dias, pela automação interna.</w:t>
      </w:r>
    </w:p>
    <w:p>
      <w:pPr>
        <w:spacing w:after="160"/>
      </w:pPr>
      <w:r>
        <w:rPr>
          <w:sz w:val="21"/>
          <w:szCs w:val="21"/>
        </w:rPr>
        <w:t xml:space="preserve">Entra no ar só quando o portal estiver com o acesso totalmente liberado — a fase de antecipação/lista de espera continua sendo trabalhada só no orgânico.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Público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Síndicos (moradores e profissionais), gestores e administradoras de condomínio, Brasil inteiro — mesmo público da campanha de Google Ads.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Testar também um público semelhante (lookalike) a partir da base de seguidores/engajamento do perfil da Eleva, já que ali já existe um público qualificado interagindo com o conteúdo sobre gestão condominial.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Formato e posicionamento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Feed e Stories</w:t>
      </w:r>
      <w:r>
        <w:rPr>
          <w:sz w:val="21"/>
          <w:szCs w:val="21"/>
        </w:rPr>
        <w:t xml:space="preserve">, com o carrossel de antecipação e o post estático de lançamento ("é hoje"), ambos já produzidos e na mesma identidade visual.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Reels</w:t>
      </w:r>
      <w:r>
        <w:rPr>
          <w:sz w:val="21"/>
          <w:szCs w:val="21"/>
        </w:rPr>
        <w:t xml:space="preserve">, se houver um vídeo curto do Giuliano falando sobre o lançamento (um dos vídeos pendentes de gravação pode servir para isso).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Evitar Audience Network e Messenger no primeiro teste, para concentrar o orçamento nos posicionamentos de melhor desempenho histórico do perfil.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Orçamento e janela de veiculação</w:t>
      </w:r>
    </w:p>
    <w:p>
      <w:pPr>
        <w:spacing w:after="160"/>
      </w:pPr>
      <w:r>
        <w:rPr>
          <w:sz w:val="21"/>
          <w:szCs w:val="21"/>
        </w:rPr>
        <w:t xml:space="preserve">Mesma janela da campanha de Google: cerca de 30 dias corridos, divididos em duas quinzenas entre outubro (a partir da data de lançamento, 13 ou 20/10) e novembro, com verba separada do Always On de engajamento que já roda hoje.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 valor específico da verba de Meta ainda precisa ser definido pelo Giuliano</w:t>
      </w:r>
      <w:r>
        <w:rPr>
          <w:sz w:val="21"/>
          <w:szCs w:val="21"/>
        </w:rPr>
        <w:t xml:space="preserve"> — diferente do Google, aqui não há um saldo parado para aproveitar, então a verba sai do orçamento geral de mídia paga combinado com ele.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Conversão e medição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Mesmo evento de cadastro já configurado para o Google (começar o teste grátis), replicado no Pixel/API de Conversões da Meta.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 Amanda cuida da parte técnica, cadastrando o evento direto no Webflow e vinculando à Meta, assim como vai fazer para o Google.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Giuliano confirma o orçamento disponível para a campanha de Meta.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Amanda configura o evento de cadastro no Webflow e vincula à Meta.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Campanha entra no ar junto com a de Google, assim que o portal estiver totalmente ativo.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2026-10-09T17:02:35.044Z</dcterms:created>
  <dcterms:modified xsi:type="dcterms:W3CDTF">2026-10-09T17:02:35.046Z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