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Análise de Campanha — Compra de Carteiras Imobiliárias (Meta Ads)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Recria - Agência de Marketing, 15/09/2026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Cliente:</w:t>
      </w:r>
      <w:r>
        <w:rPr>
          <w:sz w:val="21"/>
          <w:szCs w:val="21"/>
        </w:rPr>
        <w:t xml:space="preserve"> Eleva</w:t>
      </w:r>
    </w:p>
    <w:p>
      <w:pPr>
        <w:pStyle w:val="Heading2"/>
        <w:spacing w:after="150" w:before="300"/>
      </w:pPr>
      <w:r>
        <w:t xml:space="preserve">1. Objetivo e contexto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Objetivo de negócio:</w:t>
      </w:r>
      <w:r>
        <w:rPr>
          <w:sz w:val="21"/>
          <w:szCs w:val="21"/>
        </w:rPr>
        <w:t xml:space="preserve"> captar imobiliárias/administradoras em </w:t>
      </w:r>
      <w:r>
        <w:rPr>
          <w:b/>
          <w:bCs/>
          <w:sz w:val="21"/>
          <w:szCs w:val="21"/>
        </w:rPr>
        <w:t xml:space="preserve">Porto Alegre e Canoas (RS)</w:t>
      </w:r>
      <w:r>
        <w:rPr>
          <w:sz w:val="21"/>
          <w:szCs w:val="21"/>
        </w:rPr>
        <w:t xml:space="preserve"> interessadas em vender sua carteira de aluguéis e/ou condomínios, para a Eleva intermediar a negociação de compra — sem expor publicamente que a Eleva atua como intermediadora (o anúncio fala em nome da Eleva como compradora direta, e a intermediação acontece na prática, dentro da conversa).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Ação desejada:</w:t>
      </w:r>
      <w:r>
        <w:rPr>
          <w:sz w:val="21"/>
          <w:szCs w:val="21"/>
        </w:rPr>
        <w:t xml:space="preserve"> clique no anúncio, gerando conversa iniciada no WhatsApp da Eleva.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Restrição geográfica:</w:t>
      </w:r>
      <w:r>
        <w:rPr>
          <w:sz w:val="21"/>
          <w:szCs w:val="21"/>
        </w:rPr>
        <w:t xml:space="preserve"> só Porto Alegre e Canoas — público bem restrito, o que impacta CPM e velocidade de aprendizado da campanha (ver seção 5).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Criativos:</w:t>
      </w:r>
      <w:r>
        <w:rPr>
          <w:sz w:val="21"/>
          <w:szCs w:val="21"/>
        </w:rPr>
        <w:t xml:space="preserve"> já temos 2 artes prontas pra começar, aprovadas pelo Giuliano.</w:t>
      </w:r>
    </w:p>
    <w:p>
      <w:pPr>
        <w:pStyle w:val="Heading2"/>
        <w:spacing w:after="150" w:before="300"/>
      </w:pPr>
      <w:r>
        <w:t xml:space="preserve">2. Estrutura recomendada da campanha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shd w:fill="1c2b4a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Nível</w:t>
            </w:r>
          </w:p>
        </w:tc>
        <w:tc>
          <w:tcPr>
            <w:tcW w:type="dxa" w:w="4513"/>
            <w:shd w:fill="1c2b4a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Configuração</w:t>
            </w:r>
          </w:p>
        </w:tc>
      </w:tr>
      <w:tr>
        <w:tc>
          <w:tcPr>
            <w:tcW w:type="dxa" w:w="4513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Campanha</w:t>
            </w:r>
          </w:p>
        </w:tc>
        <w:tc>
          <w:tcPr>
            <w:tcW w:type="dxa" w:w="4513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Objetivo: </w:t>
            </w: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Mensagens</w:t>
            </w: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 (conversas no WhatsApp)</w:t>
            </w:r>
          </w:p>
        </w:tc>
      </w:tr>
      <w:tr>
        <w:tc>
          <w:tcPr>
            <w:tcW w:type="dxa" w:w="4513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Conjunto de anúncios</w:t>
            </w:r>
          </w:p>
        </w:tc>
        <w:tc>
          <w:tcPr>
            <w:tcW w:type="dxa" w:w="4513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 único conjunto — Porto Alegre + Canoas (segmentação por cluster, seção 3), orçamento diário </w:t>
            </w: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R$50</w:t>
            </w:r>
          </w:p>
        </w:tc>
      </w:tr>
      <w:tr>
        <w:tc>
          <w:tcPr>
            <w:tcW w:type="dxa" w:w="4513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Anúncios</w:t>
            </w:r>
          </w:p>
        </w:tc>
        <w:tc>
          <w:tcPr>
            <w:tcW w:type="dxa" w:w="4513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Os 2 criativos dentro do </w:t>
            </w: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mesmo conjunto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  <w:sz w:val="21"/>
          <w:szCs w:val="21"/>
        </w:rPr>
        <w:t xml:space="preserve">Por que orçamento no nível do conjunto, e não dividido por anúncio ou por campanha separada:</w:t>
      </w:r>
      <w:r>
        <w:rPr>
          <w:sz w:val="21"/>
          <w:szCs w:val="21"/>
        </w:rPr>
        <w:t xml:space="preserve"> com R$50/dia e só 15 dias, dividir o orçamento em dois conjuntos separados (R$25 cada) arrisca nenhum dos dois sair da fase de aprendizado do Meta, que precisa de um volume mínimo de eventos por semana pra otimizar entrega. Deixando os 2 criativos dentro do mesmo conjunto, o algoritmo direciona a verba pra quem estiver performando melhor automaticamente, e ainda assim é possível comparar o resultado </w:t>
      </w:r>
      <w:r>
        <w:rPr>
          <w:b/>
          <w:bCs/>
          <w:sz w:val="21"/>
          <w:szCs w:val="21"/>
        </w:rPr>
        <w:t xml:space="preserve">por anúncio</w:t>
      </w:r>
      <w:r>
        <w:rPr>
          <w:sz w:val="21"/>
          <w:szCs w:val="21"/>
        </w:rPr>
        <w:t xml:space="preserve"> no relatório (Meta reporta CTR, CPM e conversas iniciadas por criativo, mesmo compartilhando o mesmo orçamento). É a forma mais eficiente de descobrir qual criativo entrega mais sem desperdiçar o teto de teste.</w:t>
      </w:r>
    </w:p>
    <w:p>
      <w:pPr>
        <w:pStyle w:val="Heading2"/>
        <w:spacing w:after="150" w:before="300"/>
      </w:pPr>
      <w:r>
        <w:t xml:space="preserve">3. Segmentação geográfica por cluster de bairro</w:t>
      </w:r>
    </w:p>
    <w:p>
      <w:pPr>
        <w:spacing w:after="160"/>
      </w:pPr>
      <w:r>
        <w:rPr>
          <w:sz w:val="21"/>
          <w:szCs w:val="21"/>
        </w:rPr>
        <w:t xml:space="preserve">Em vez de segmentar as cidades inteiras, foi feito um levantamento das imobiliárias e administradoras reais de Porto Alegre e Canoas (fontes: SECOVI-RS/AGADEMI e Google Maps, 63 empresas ao todo — planilha em anexo). Os endereços se concentram fortemente em poucos bairros, o que permite trocar a segmentação por cidade inteira por </w:t>
      </w:r>
      <w:r>
        <w:rPr>
          <w:b/>
          <w:bCs/>
          <w:sz w:val="21"/>
          <w:szCs w:val="21"/>
        </w:rPr>
        <w:t xml:space="preserve">pins de raio nos clusters onde o público real está</w:t>
      </w:r>
      <w:r>
        <w:rPr>
          <w:sz w:val="21"/>
          <w:szCs w:val="21"/>
        </w:rPr>
        <w:t xml:space="preserve">, reduzindo desperdício de verba com quem está fora da área de interesse.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Porto Alegre (48 empresas no levantamento):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1c2b4a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Cluster (pin)</w:t>
            </w:r>
          </w:p>
        </w:tc>
        <w:tc>
          <w:tcPr>
            <w:tcW w:type="dxa" w:w="2256"/>
            <w:shd w:fill="1c2b4a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Raio sugerido</w:t>
            </w:r>
          </w:p>
        </w:tc>
        <w:tc>
          <w:tcPr>
            <w:tcW w:type="dxa" w:w="2256"/>
            <w:shd w:fill="1c2b4a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Empresas cobertas</w:t>
            </w:r>
          </w:p>
        </w:tc>
        <w:tc>
          <w:tcPr>
            <w:tcW w:type="dxa" w:w="2256"/>
            <w:shd w:fill="1c2b4a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Bairros na área</w:t>
            </w:r>
          </w:p>
        </w:tc>
      </w:tr>
      <w:tr>
        <w:tc>
          <w:tcPr>
            <w:tcW w:type="dxa" w:w="2256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Centro / Centro Histórico</w:t>
            </w:r>
          </w:p>
        </w:tc>
        <w:tc>
          <w:tcPr>
            <w:tcW w:type="dxa" w:w="2256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~4 km</w:t>
            </w:r>
          </w:p>
        </w:tc>
        <w:tc>
          <w:tcPr>
            <w:tcW w:type="dxa" w:w="2256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17 diretas + cobre a maioria das demais</w:t>
            </w:r>
          </w:p>
        </w:tc>
        <w:tc>
          <w:tcPr>
            <w:tcW w:type="dxa" w:w="2256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Centro, Centro Histórico, Bom Fim, Farroupilha, Independência, Azenha, Moinhos de Vento, Floresta, Auxiliadora, Mont'Serrat, Menino Deus, Bela Vista, Rio Branco</w:t>
            </w:r>
          </w:p>
        </w:tc>
      </w:tr>
      <w:tr>
        <w:tc>
          <w:tcPr>
            <w:tcW w:type="dxa" w:w="2256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Cristo Redentor / Passo d'Areia</w:t>
            </w:r>
          </w:p>
        </w:tc>
        <w:tc>
          <w:tcPr>
            <w:tcW w:type="dxa" w:w="2256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~3 km</w:t>
            </w:r>
          </w:p>
        </w:tc>
        <w:tc>
          <w:tcPr>
            <w:tcW w:type="dxa" w:w="2256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2256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Cristo Redentor, Passo d'Areia</w:t>
            </w:r>
          </w:p>
        </w:tc>
      </w:tr>
      <w:tr>
        <w:tc>
          <w:tcPr>
            <w:tcW w:type="dxa" w:w="2256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Cristal</w:t>
            </w:r>
          </w:p>
        </w:tc>
        <w:tc>
          <w:tcPr>
            <w:tcW w:type="dxa" w:w="2256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~2 km</w:t>
            </w:r>
          </w:p>
        </w:tc>
        <w:tc>
          <w:tcPr>
            <w:tcW w:type="dxa" w:w="2256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256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Cristal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Canoas (15 empresas no levantamento):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shd w:fill="1c2b4a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Cluster (pin)</w:t>
            </w:r>
          </w:p>
        </w:tc>
        <w:tc>
          <w:tcPr>
            <w:tcW w:type="dxa" w:w="3008"/>
            <w:shd w:fill="1c2b4a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Raio sugerido</w:t>
            </w:r>
          </w:p>
        </w:tc>
        <w:tc>
          <w:tcPr>
            <w:tcW w:type="dxa" w:w="3008"/>
            <w:shd w:fill="1c2b4a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Empresas cobertas</w:t>
            </w:r>
          </w:p>
        </w:tc>
      </w:tr>
      <w:tr>
        <w:tc>
          <w:tcPr>
            <w:tcW w:type="dxa" w:w="3008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Centro</w:t>
            </w:r>
          </w:p>
        </w:tc>
        <w:tc>
          <w:tcPr>
            <w:tcW w:type="dxa" w:w="3008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~2 km</w:t>
            </w:r>
          </w:p>
        </w:tc>
        <w:tc>
          <w:tcPr>
            <w:tcW w:type="dxa" w:w="3008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3008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Marechal Rondon</w:t>
            </w:r>
          </w:p>
        </w:tc>
        <w:tc>
          <w:tcPr>
            <w:tcW w:type="dxa" w:w="3008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~2 km</w:t>
            </w:r>
          </w:p>
        </w:tc>
        <w:tc>
          <w:tcPr>
            <w:tcW w:type="dxa" w:w="3008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  <w:sz w:val="21"/>
          <w:szCs w:val="21"/>
        </w:rPr>
        <w:t xml:space="preserve">Cobertura pelos 3 clusters de Porto Alegre + 2 de Canoas:</w:t>
      </w:r>
      <w:r>
        <w:rPr>
          <w:sz w:val="21"/>
          <w:szCs w:val="21"/>
        </w:rPr>
        <w:t xml:space="preserve"> ~61 das 63 empresas listadas, após confirmar o bairro das 8 que estavam sem essa informação na planilha original (a maioria caiu dentro dos clusters já existentes, só 1 exigiu ajuste no raio do cluster Centro pra incluir o bairro Auxiliadora).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Pins individuais adicionais (empresas fora dos clusters):</w:t>
      </w:r>
      <w:r>
        <w:rPr>
          <w:sz w:val="21"/>
          <w:szCs w:val="21"/>
        </w:rPr>
        <w:t xml:space="preserve"> como não é trabalhoso adicionar mais pins e a ideia é explorar todas as possibilidades, as empresas que ficam fora dos clusters acima recebem um pin próprio, direto no endereço, com raio pequeno (~1 km):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1c2b4a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Empresa</w:t>
            </w:r>
          </w:p>
        </w:tc>
        <w:tc>
          <w:tcPr>
            <w:tcW w:type="dxa" w:w="2256"/>
            <w:shd w:fill="1c2b4a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Cidade</w:t>
            </w:r>
          </w:p>
        </w:tc>
        <w:tc>
          <w:tcPr>
            <w:tcW w:type="dxa" w:w="2256"/>
            <w:shd w:fill="1c2b4a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Endereço</w:t>
            </w:r>
          </w:p>
        </w:tc>
        <w:tc>
          <w:tcPr>
            <w:tcW w:type="dxa" w:w="2256"/>
            <w:shd w:fill="1c2b4a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Bairro</w:t>
            </w:r>
          </w:p>
        </w:tc>
      </w:tr>
      <w:tr>
        <w:tc>
          <w:tcPr>
            <w:tcW w:type="dxa" w:w="2256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Alfa City Adm. de Condomínios</w:t>
            </w:r>
          </w:p>
        </w:tc>
        <w:tc>
          <w:tcPr>
            <w:tcW w:type="dxa" w:w="2256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Porto Alegre</w:t>
            </w:r>
          </w:p>
        </w:tc>
        <w:tc>
          <w:tcPr>
            <w:tcW w:type="dxa" w:w="2256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Av. Assis Brasil, 4550</w:t>
            </w:r>
          </w:p>
        </w:tc>
        <w:tc>
          <w:tcPr>
            <w:tcW w:type="dxa" w:w="2256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São Sebastião</w:t>
            </w:r>
          </w:p>
        </w:tc>
      </w:tr>
      <w:tr>
        <w:tc>
          <w:tcPr>
            <w:tcW w:type="dxa" w:w="2256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 Diretriz Adm. de Imóveis e Condomínios</w:t>
            </w:r>
          </w:p>
        </w:tc>
        <w:tc>
          <w:tcPr>
            <w:tcW w:type="dxa" w:w="2256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Porto Alegre</w:t>
            </w:r>
          </w:p>
        </w:tc>
        <w:tc>
          <w:tcPr>
            <w:tcW w:type="dxa" w:w="2256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R. Joaquim Silveira, 396</w:t>
            </w:r>
          </w:p>
        </w:tc>
        <w:tc>
          <w:tcPr>
            <w:tcW w:type="dxa" w:w="2256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São Sebastião (mesmo pin do Alfa City)</w:t>
            </w:r>
          </w:p>
        </w:tc>
      </w:tr>
      <w:tr>
        <w:tc>
          <w:tcPr>
            <w:tcW w:type="dxa" w:w="2256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Administradora Rio Grandense</w:t>
            </w:r>
          </w:p>
        </w:tc>
        <w:tc>
          <w:tcPr>
            <w:tcW w:type="dxa" w:w="2256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Porto Alegre</w:t>
            </w:r>
          </w:p>
        </w:tc>
        <w:tc>
          <w:tcPr>
            <w:tcW w:type="dxa" w:w="2256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R. Santa Flora, 1482</w:t>
            </w:r>
          </w:p>
        </w:tc>
        <w:tc>
          <w:tcPr>
            <w:tcW w:type="dxa" w:w="2256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Nonoai</w:t>
            </w:r>
          </w:p>
        </w:tc>
      </w:tr>
      <w:tr>
        <w:tc>
          <w:tcPr>
            <w:tcW w:type="dxa" w:w="2256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Innove Imóveis e Seguros</w:t>
            </w:r>
          </w:p>
        </w:tc>
        <w:tc>
          <w:tcPr>
            <w:tcW w:type="dxa" w:w="2256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Porto Alegre</w:t>
            </w:r>
          </w:p>
        </w:tc>
        <w:tc>
          <w:tcPr>
            <w:tcW w:type="dxa" w:w="2256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Av. Bento Gonçalves</w:t>
            </w:r>
          </w:p>
        </w:tc>
        <w:tc>
          <w:tcPr>
            <w:tcW w:type="dxa" w:w="2256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Partenon</w:t>
            </w:r>
          </w:p>
        </w:tc>
      </w:tr>
      <w:tr>
        <w:tc>
          <w:tcPr>
            <w:tcW w:type="dxa" w:w="2256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Imobiliária Farrapos</w:t>
            </w:r>
          </w:p>
        </w:tc>
        <w:tc>
          <w:tcPr>
            <w:tcW w:type="dxa" w:w="2256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Porto Alegre</w:t>
            </w:r>
          </w:p>
        </w:tc>
        <w:tc>
          <w:tcPr>
            <w:tcW w:type="dxa" w:w="2256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Rua Conde de Porto Alegre</w:t>
            </w:r>
          </w:p>
        </w:tc>
        <w:tc>
          <w:tcPr>
            <w:tcW w:type="dxa" w:w="2256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Navegantes</w:t>
            </w:r>
          </w:p>
        </w:tc>
      </w:tr>
      <w:tr>
        <w:tc>
          <w:tcPr>
            <w:tcW w:type="dxa" w:w="2256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Talla Adm. de Condomínios</w:t>
            </w:r>
          </w:p>
        </w:tc>
        <w:tc>
          <w:tcPr>
            <w:tcW w:type="dxa" w:w="2256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Porto Alegre</w:t>
            </w:r>
          </w:p>
        </w:tc>
        <w:tc>
          <w:tcPr>
            <w:tcW w:type="dxa" w:w="2256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Av. Protásio Alves, 1880</w:t>
            </w:r>
          </w:p>
        </w:tc>
        <w:tc>
          <w:tcPr>
            <w:tcW w:type="dxa" w:w="2256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Petrópolis</w:t>
            </w:r>
          </w:p>
        </w:tc>
      </w:tr>
      <w:tr>
        <w:tc>
          <w:tcPr>
            <w:tcW w:type="dxa" w:w="2256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Inovar Gestão Imobiliária</w:t>
            </w:r>
          </w:p>
        </w:tc>
        <w:tc>
          <w:tcPr>
            <w:tcW w:type="dxa" w:w="2256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Canoas</w:t>
            </w:r>
          </w:p>
        </w:tc>
        <w:tc>
          <w:tcPr>
            <w:tcW w:type="dxa" w:w="2256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Rua Lajeado, 1621</w:t>
            </w:r>
          </w:p>
        </w:tc>
        <w:tc>
          <w:tcPr>
            <w:tcW w:type="dxa" w:w="2256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Niterói</w:t>
            </w:r>
          </w:p>
        </w:tc>
      </w:tr>
      <w:tr>
        <w:tc>
          <w:tcPr>
            <w:tcW w:type="dxa" w:w="2256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R2 Síndicos Profissionais</w:t>
            </w:r>
          </w:p>
        </w:tc>
        <w:tc>
          <w:tcPr>
            <w:tcW w:type="dxa" w:w="2256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Canoas</w:t>
            </w:r>
          </w:p>
        </w:tc>
        <w:tc>
          <w:tcPr>
            <w:tcW w:type="dxa" w:w="2256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Rua Paes Lemes, 715 Sl 01</w:t>
            </w:r>
          </w:p>
        </w:tc>
        <w:tc>
          <w:tcPr>
            <w:tcW w:type="dxa" w:w="2256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Rio Branco (Canoas)</w:t>
            </w:r>
          </w:p>
        </w:tc>
      </w:tr>
      <w:tr>
        <w:tc>
          <w:tcPr>
            <w:tcW w:type="dxa" w:w="2256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 Vinci Gestão Imobiliária</w:t>
            </w:r>
          </w:p>
        </w:tc>
        <w:tc>
          <w:tcPr>
            <w:tcW w:type="dxa" w:w="2256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Canoas</w:t>
            </w:r>
          </w:p>
        </w:tc>
        <w:tc>
          <w:tcPr>
            <w:tcW w:type="dxa" w:w="2256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Rua Nazaré, 600</w:t>
            </w:r>
          </w:p>
        </w:tc>
        <w:tc>
          <w:tcPr>
            <w:tcW w:type="dxa" w:w="2256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Nossa Sra. das Graças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  <w:sz w:val="21"/>
          <w:szCs w:val="21"/>
        </w:rPr>
        <w:t xml:space="preserve">Total de pins no conjunto de anúncios:</w:t>
      </w:r>
      <w:r>
        <w:rPr>
          <w:sz w:val="21"/>
          <w:szCs w:val="21"/>
        </w:rPr>
        <w:t xml:space="preserve"> 5 clusters + 8 pins individuais (o de São Sebastião cobre 2 empresas) = 13 pins, cobrindo as 63 empresas do levantamento.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Como usar no Meta Ads:</w:t>
      </w:r>
      <w:r>
        <w:rPr>
          <w:sz w:val="21"/>
          <w:szCs w:val="21"/>
        </w:rPr>
        <w:t xml:space="preserve"> no conjunto de anúncios, em "Localização", adicionar cada um dos pins acima (busca por bairro/endereço de referência no mapa do Gerenciador de Anúncios) com o raio indicado, em vez de selecionar "Porto Alegre" e "Canoas" como cidades inteiras.</w:t>
      </w:r>
    </w:p>
    <w:p>
      <w:pPr>
        <w:pStyle w:val="Heading2"/>
        <w:spacing w:after="150" w:before="300"/>
      </w:pPr>
      <w:r>
        <w:t xml:space="preserve">4. Público sugerido (demografia e interesses)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Localização:</w:t>
      </w:r>
      <w:r>
        <w:rPr>
          <w:sz w:val="21"/>
          <w:szCs w:val="21"/>
        </w:rPr>
        <w:t xml:space="preserve"> os pins da seção 3 (5 clusters + pins individuais)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Idade:</w:t>
      </w:r>
      <w:r>
        <w:rPr>
          <w:sz w:val="21"/>
          <w:szCs w:val="21"/>
        </w:rPr>
        <w:t xml:space="preserve"> 30–65 anos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Gênero:</w:t>
      </w:r>
      <w:r>
        <w:rPr>
          <w:sz w:val="21"/>
          <w:szCs w:val="21"/>
        </w:rPr>
        <w:t xml:space="preserve"> todos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Interesses (segmentação detalhada manual, combinados com "OU" — sem estreitar):</w:t>
      </w:r>
      <w:r>
        <w:rPr>
          <w:sz w:val="21"/>
          <w:szCs w:val="21"/>
        </w:rPr>
        <w:t xml:space="preserve"> Mercado imobiliário, Corretagem de imóveis, Gestão de propriedades, Investimento imobiliário, Administração de condomínios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Expansão de detalhamento de público:</w:t>
      </w:r>
      <w:r>
        <w:rPr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 xml:space="preserve">desativada</w:t>
      </w:r>
      <w:r>
        <w:rPr>
          <w:sz w:val="21"/>
          <w:szCs w:val="21"/>
        </w:rPr>
        <w:t xml:space="preserve"> — com orçamento de R$50/dia e público já hiperlocal, deixar o Meta "expandir" pra fora dos interesses definidos arrisca gastar verba testando gente fora do perfil antes de aprender.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Posicionamento:</w:t>
      </w:r>
      <w:r>
        <w:rPr>
          <w:sz w:val="21"/>
          <w:szCs w:val="21"/>
        </w:rPr>
        <w:t xml:space="preserve"> manual — selecionar diretamente Feed do Instagram e Facebook + Stories (os formatos mais diretos pra esse tipo de anúncio), em vez de deixar no automático (Advantage+ Posicionamentos). Com pouca verba e só 15 dias, não vale gastar tempo de aprendizado do algoritmo testando posicionamento — melhor já ir direto no que costuma performar melhor pra esse tipo de campanha.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Reforço no criativo/legenda:</w:t>
      </w:r>
      <w:r>
        <w:rPr>
          <w:sz w:val="21"/>
          <w:szCs w:val="21"/>
        </w:rPr>
        <w:t xml:space="preserve"> usar termos como "dono de imobiliária", "administradora de aluguéis e condomínios", "carteira de imóveis" na legenda, pra quem não se identificar simplesmente ignorar o anúncio — essa é a segmentação "de verdade" nesse caso.</w:t>
      </w:r>
    </w:p>
    <w:p>
      <w:pPr>
        <w:pStyle w:val="Heading2"/>
        <w:spacing w:after="150" w:before="300"/>
      </w:pPr>
      <w:r>
        <w:t xml:space="preserve">5. Cronograma e orçamento do teste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Duração:</w:t>
      </w:r>
      <w:r>
        <w:rPr>
          <w:sz w:val="21"/>
          <w:szCs w:val="21"/>
        </w:rPr>
        <w:t xml:space="preserve"> 15 dias corridos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Orçamento diário:</w:t>
      </w:r>
      <w:r>
        <w:rPr>
          <w:sz w:val="21"/>
          <w:szCs w:val="21"/>
        </w:rPr>
        <w:t xml:space="preserve"> R$50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Orçamento total do teste:</w:t>
      </w:r>
      <w:r>
        <w:rPr>
          <w:sz w:val="21"/>
          <w:szCs w:val="21"/>
        </w:rPr>
        <w:t xml:space="preserve"> R$750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Critério de decisão ao final:</w:t>
      </w:r>
      <w:r>
        <w:rPr>
          <w:sz w:val="21"/>
          <w:szCs w:val="21"/>
        </w:rPr>
        <w:t xml:space="preserve"> se o custo por conversa iniciada estiver dentro do razoável (seção 6) e/ou já surgir pelo menos 1 conversa qualificada (imobiliária real, carteira real), aumentar o orçamento. Se não houver nenhuma conversa qualificada em 15 dias, revisar público e/ou criativo antes de aumentar verba.</w:t>
      </w:r>
    </w:p>
    <w:p>
      <w:pPr>
        <w:pStyle w:val="Heading2"/>
        <w:spacing w:after="150" w:before="300"/>
      </w:pPr>
      <w:r>
        <w:t xml:space="preserve">6. Projeção de métricas (cenários, acumulado dos 15 dias) — estimativa, não dado real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Premissa:</w:t>
      </w:r>
      <w:r>
        <w:rPr>
          <w:sz w:val="21"/>
          <w:szCs w:val="21"/>
        </w:rPr>
        <w:t xml:space="preserve"> sem CPM histórico desse público específico (por não haver dado da campanha anterior nesta BM), a projeção usa benchmark geral de Meta Ads B2B no Brasil, ajustado pra cima pela restrição geográfica forte (público pequeno tende a aumentar CPM), e pra baixo pela segmentação por cluster (seção 3), que deve melhorar a eficiência frente a segmentar a cidade inteira.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Todos os números abaixo são o total acumulado dos 15 dias de campanha (R$750 no total, não por dia).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1c2b4a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Métrica</w:t>
            </w:r>
          </w:p>
        </w:tc>
        <w:tc>
          <w:tcPr>
            <w:tcW w:type="dxa" w:w="2256"/>
            <w:shd w:fill="1c2b4a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Conservador</w:t>
            </w:r>
          </w:p>
        </w:tc>
        <w:tc>
          <w:tcPr>
            <w:tcW w:type="dxa" w:w="2256"/>
            <w:shd w:fill="1c2b4a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Realista</w:t>
            </w:r>
          </w:p>
        </w:tc>
        <w:tc>
          <w:tcPr>
            <w:tcW w:type="dxa" w:w="2256"/>
            <w:shd w:fill="1c2b4a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Otimista</w:t>
            </w:r>
          </w:p>
        </w:tc>
      </w:tr>
      <w:tr>
        <w:tc>
          <w:tcPr>
            <w:tcW w:type="dxa" w:w="2256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CPM (custo por mil impressões)</w:t>
            </w:r>
          </w:p>
        </w:tc>
        <w:tc>
          <w:tcPr>
            <w:tcW w:type="dxa" w:w="2256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R$35</w:t>
            </w:r>
          </w:p>
        </w:tc>
        <w:tc>
          <w:tcPr>
            <w:tcW w:type="dxa" w:w="2256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R$25</w:t>
            </w:r>
          </w:p>
        </w:tc>
        <w:tc>
          <w:tcPr>
            <w:tcW w:type="dxa" w:w="2256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R$15</w:t>
            </w:r>
          </w:p>
        </w:tc>
      </w:tr>
      <w:tr>
        <w:tc>
          <w:tcPr>
            <w:tcW w:type="dxa" w:w="2256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Impressões (total, 15 dias)</w:t>
            </w:r>
          </w:p>
        </w:tc>
        <w:tc>
          <w:tcPr>
            <w:tcW w:type="dxa" w:w="2256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~21.400</w:t>
            </w:r>
          </w:p>
        </w:tc>
        <w:tc>
          <w:tcPr>
            <w:tcW w:type="dxa" w:w="2256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~30.000</w:t>
            </w:r>
          </w:p>
        </w:tc>
        <w:tc>
          <w:tcPr>
            <w:tcW w:type="dxa" w:w="2256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~50.000</w:t>
            </w:r>
          </w:p>
        </w:tc>
      </w:tr>
      <w:tr>
        <w:tc>
          <w:tcPr>
            <w:tcW w:type="dxa" w:w="2256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Frequência estimada</w:t>
            </w:r>
          </w:p>
        </w:tc>
        <w:tc>
          <w:tcPr>
            <w:tcW w:type="dxa" w:w="2256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2,5</w:t>
            </w:r>
          </w:p>
        </w:tc>
        <w:tc>
          <w:tcPr>
            <w:tcW w:type="dxa" w:w="2256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2,0</w:t>
            </w:r>
          </w:p>
        </w:tc>
        <w:tc>
          <w:tcPr>
            <w:tcW w:type="dxa" w:w="2256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1,6</w:t>
            </w:r>
          </w:p>
        </w:tc>
      </w:tr>
      <w:tr>
        <w:tc>
          <w:tcPr>
            <w:tcW w:type="dxa" w:w="2256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Alcance estimado</w:t>
            </w:r>
          </w:p>
        </w:tc>
        <w:tc>
          <w:tcPr>
            <w:tcW w:type="dxa" w:w="2256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~8.500</w:t>
            </w:r>
          </w:p>
        </w:tc>
        <w:tc>
          <w:tcPr>
            <w:tcW w:type="dxa" w:w="2256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~15.000</w:t>
            </w:r>
          </w:p>
        </w:tc>
        <w:tc>
          <w:tcPr>
            <w:tcW w:type="dxa" w:w="2256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~31.000</w:t>
            </w:r>
          </w:p>
        </w:tc>
      </w:tr>
      <w:tr>
        <w:tc>
          <w:tcPr>
            <w:tcW w:type="dxa" w:w="2256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CTR (todos os cliques)</w:t>
            </w:r>
          </w:p>
        </w:tc>
        <w:tc>
          <w:tcPr>
            <w:tcW w:type="dxa" w:w="2256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1,0%</w:t>
            </w:r>
          </w:p>
        </w:tc>
        <w:tc>
          <w:tcPr>
            <w:tcW w:type="dxa" w:w="2256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1,8%</w:t>
            </w:r>
          </w:p>
        </w:tc>
        <w:tc>
          <w:tcPr>
            <w:tcW w:type="dxa" w:w="2256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2,5%</w:t>
            </w:r>
          </w:p>
        </w:tc>
      </w:tr>
      <w:tr>
        <w:tc>
          <w:tcPr>
            <w:tcW w:type="dxa" w:w="2256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Cliques estimados (total)</w:t>
            </w:r>
          </w:p>
        </w:tc>
        <w:tc>
          <w:tcPr>
            <w:tcW w:type="dxa" w:w="2256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~214</w:t>
            </w:r>
          </w:p>
        </w:tc>
        <w:tc>
          <w:tcPr>
            <w:tcW w:type="dxa" w:w="2256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~540</w:t>
            </w:r>
          </w:p>
        </w:tc>
        <w:tc>
          <w:tcPr>
            <w:tcW w:type="dxa" w:w="2256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~1.250</w:t>
            </w:r>
          </w:p>
        </w:tc>
      </w:tr>
      <w:tr>
        <w:tc>
          <w:tcPr>
            <w:tcW w:type="dxa" w:w="2256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Custo por conversa iniciada (WhatsApp)</w:t>
            </w:r>
          </w:p>
        </w:tc>
        <w:tc>
          <w:tcPr>
            <w:tcW w:type="dxa" w:w="2256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R$35</w:t>
            </w:r>
          </w:p>
        </w:tc>
        <w:tc>
          <w:tcPr>
            <w:tcW w:type="dxa" w:w="2256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R$22</w:t>
            </w:r>
          </w:p>
        </w:tc>
        <w:tc>
          <w:tcPr>
            <w:tcW w:type="dxa" w:w="2256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R$12</w:t>
            </w:r>
          </w:p>
        </w:tc>
      </w:tr>
      <w:tr>
        <w:tc>
          <w:tcPr>
            <w:tcW w:type="dxa" w:w="2256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Conversas iniciadas estimadas (total)</w:t>
            </w:r>
          </w:p>
        </w:tc>
        <w:tc>
          <w:tcPr>
            <w:tcW w:type="dxa" w:w="2256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~21</w:t>
            </w:r>
          </w:p>
        </w:tc>
        <w:tc>
          <w:tcPr>
            <w:tcW w:type="dxa" w:w="2256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~34</w:t>
            </w:r>
          </w:p>
        </w:tc>
        <w:tc>
          <w:tcPr>
            <w:tcW w:type="dxa" w:w="2256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~62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  <w:sz w:val="21"/>
          <w:szCs w:val="21"/>
        </w:rPr>
        <w:t xml:space="preserve">Sobre conversão (conversa até virar negócio):</w:t>
      </w:r>
      <w:r>
        <w:rPr>
          <w:sz w:val="21"/>
          <w:szCs w:val="21"/>
        </w:rPr>
        <w:t xml:space="preserve"> não há histórico suficiente pra estimar com segurança essa etapa. Como hipótese de trabalho, sugiro considerar que de cada 5 a 10 conversas iniciadas, 1 tende a ser uma imobiliária real e qualificada (dono de fato interessado em vender, não curioso ou concorrente testando o anúncio) — e dessas, uma fração menor avança pra negociação de valores. Recomendo tratar isso como algo a </w:t>
      </w:r>
      <w:r>
        <w:rPr>
          <w:b/>
          <w:bCs/>
          <w:sz w:val="21"/>
          <w:szCs w:val="21"/>
        </w:rPr>
        <w:t xml:space="preserve">medir durante o teste</w:t>
      </w:r>
      <w:r>
        <w:rPr>
          <w:sz w:val="21"/>
          <w:szCs w:val="21"/>
        </w:rPr>
        <w:t xml:space="preserve">, não como projeção confiável, e ajustar a régua depois dos primeiros 15 dias com dado real.</w:t>
      </w:r>
    </w:p>
    <w:p>
      <w:pPr>
        <w:pStyle w:val="Heading2"/>
        <w:spacing w:after="150" w:before="300"/>
      </w:pPr>
      <w:r>
        <w:t xml:space="preserve">7. Legenda do anúncio</w:t>
      </w:r>
    </w:p>
    <w:p>
      <w:pPr>
        <w:spacing w:after="160"/>
      </w:pPr>
      <w:r>
        <w:rPr>
          <w:sz w:val="21"/>
          <w:szCs w:val="21"/>
        </w:rPr>
        <w:t xml:space="preserve">Como as duas artes têm exatamente o mesmo texto na imagem (só muda a foto do Giuliano), a recomendação é manter a </w:t>
      </w:r>
      <w:r>
        <w:rPr>
          <w:b/>
          <w:bCs/>
          <w:sz w:val="21"/>
          <w:szCs w:val="21"/>
        </w:rPr>
        <w:t xml:space="preserve">mesma legenda nos dois anúncios</w:t>
      </w:r>
      <w:r>
        <w:rPr>
          <w:sz w:val="21"/>
          <w:szCs w:val="21"/>
        </w:rPr>
        <w:t xml:space="preserve"> — isso isola a variável que está sendo testada (qual foto/visual performa melhor), sem misturar com variação de copy ao mesmo tempo. Testar duas coisas ao mesmo tempo (foto E texto) com uma base de R$50/dia não dá volume suficiente pra saber o que realmente fez diferença.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Legenda (texto principal do anúncio):</w:t>
      </w:r>
    </w:p>
    <w:p>
      <w:pPr>
        <w:pBdr>
          <w:left w:val="single" w:color="cccccc" w:sz="12" w:space="8"/>
        </w:pBdr>
        <w:spacing w:after="120"/>
        <w:ind w:left="400"/>
      </w:pPr>
      <w:r>
        <w:rPr>
          <w:i/>
          <w:iCs/>
          <w:color w:val="333333"/>
          <w:sz w:val="20"/>
          <w:szCs w:val="20"/>
        </w:rPr>
        <w:t xml:space="preserve">Você é dono de imobiliária ou administradora em Porto Alegre ou Canoas?</w:t>
      </w:r>
    </w:p>
    <w:p>
      <w:pPr>
        <w:spacing w:after="160"/>
      </w:pPr>
      <w:r>
        <w:rPr>
          <w:sz w:val="21"/>
          <w:szCs w:val="21"/>
        </w:rPr>
        <w:t xml:space="preserve">&gt;</w:t>
      </w:r>
    </w:p>
    <w:p>
      <w:pPr>
        <w:pBdr>
          <w:left w:val="single" w:color="cccccc" w:sz="12" w:space="8"/>
        </w:pBdr>
        <w:spacing w:after="120"/>
        <w:ind w:left="400"/>
      </w:pPr>
      <w:r>
        <w:rPr>
          <w:i/>
          <w:iCs/>
          <w:color w:val="333333"/>
          <w:sz w:val="20"/>
          <w:szCs w:val="20"/>
        </w:rPr>
        <w:t xml:space="preserve">A Eleva está adquirindo empresas e carteiras de aluguéis e condomínios na região, negociação direta com Giuliano Spolavori: +35 anos no mercado imobiliário, +2.200 condomínios geridos, +20 operações de M&amp;A, +8 mil imóveis locados.</w:t>
      </w:r>
    </w:p>
    <w:p>
      <w:pPr>
        <w:spacing w:after="160"/>
      </w:pPr>
      <w:r>
        <w:rPr>
          <w:sz w:val="21"/>
          <w:szCs w:val="21"/>
        </w:rPr>
        <w:t xml:space="preserve">&gt;</w:t>
      </w:r>
    </w:p>
    <w:p>
      <w:pPr>
        <w:pBdr>
          <w:left w:val="single" w:color="cccccc" w:sz="12" w:space="8"/>
        </w:pBdr>
        <w:spacing w:after="120"/>
        <w:ind w:left="400"/>
      </w:pPr>
      <w:r>
        <w:rPr>
          <w:i/>
          <w:iCs/>
          <w:color w:val="333333"/>
          <w:sz w:val="20"/>
          <w:szCs w:val="20"/>
        </w:rPr>
        <w:t xml:space="preserve">Se interessou e quer saber como funciona?</w:t>
      </w:r>
    </w:p>
    <w:p>
      <w:pPr>
        <w:pBdr>
          <w:left w:val="single" w:color="cccccc" w:sz="12" w:space="8"/>
        </w:pBdr>
        <w:spacing w:after="120"/>
        <w:ind w:left="400"/>
      </w:pPr>
      <w:r>
        <w:rPr>
          <w:i/>
          <w:iCs/>
          <w:color w:val="333333"/>
          <w:sz w:val="20"/>
          <w:szCs w:val="20"/>
        </w:rPr>
        <w:t xml:space="preserve">Toque no botão abaixo para conversar conosco através do WhatsApp.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Botão do anúncio:</w:t>
      </w:r>
      <w:r>
        <w:rPr>
          <w:sz w:val="21"/>
          <w:szCs w:val="21"/>
        </w:rPr>
        <w:t xml:space="preserve"> Fale conosco</w:t>
      </w:r>
    </w:p>
    <w:p>
      <w:pPr>
        <w:pStyle w:val="Heading2"/>
        <w:spacing w:after="150" w:before="300"/>
      </w:pPr>
      <w:r>
        <w:t xml:space="preserve">8. Riscos e observações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Público pequeno pode saturar rápido:</w:t>
      </w:r>
      <w:r>
        <w:rPr>
          <w:sz w:val="21"/>
          <w:szCs w:val="21"/>
        </w:rPr>
        <w:t xml:space="preserve"> com frequência estimada de até 2,5 em 15 dias, vale monitorar se a mesma pessoa está vendo o anúncio repetidamente sem agir — sinal de já ter esgotado o público qualificado da região.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Sem dado histórico é um risco assumido conscientemente:</w:t>
      </w:r>
      <w:r>
        <w:rPr>
          <w:sz w:val="21"/>
          <w:szCs w:val="21"/>
        </w:rPr>
        <w:t xml:space="preserve"> os criativos já tiveram resultado em outro contexto/BM, mas isso não garante repetição de performance — pode ser público, período ou plataforma diferentes. Os 15 dias servem exatamente pra validar isso aqui, com esse público restrito.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Qualidade da conversa importa mais que quantidade:</w:t>
      </w:r>
      <w:r>
        <w:rPr>
          <w:sz w:val="21"/>
          <w:szCs w:val="21"/>
        </w:rPr>
        <w:t xml:space="preserve"> dado o nicho ser tão específico (só quem realmente tem carteira pra vender), vale orientar quem for atender o WhatsApp a documentar rapidamente se cada conversa é "lead real" ou "curioso", pra conseguirmos calcular a taxa de conversão de verdade depois dos 15 dias.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Levantamento de imobiliárias é uma foto do momento:</w:t>
      </w:r>
      <w:r>
        <w:rPr>
          <w:sz w:val="21"/>
          <w:szCs w:val="21"/>
        </w:rPr>
        <w:t xml:space="preserve"> dados públicos (SECOVI-RS, Google Maps) podem mudar — vale confirmar informação antes de qualquer contato direto, e tratar a lista como apoio de segmentação, não como mala direta.</w:t>
      </w:r>
    </w:p>
    <w:p>
      <w:pPr>
        <w:pStyle w:val="Heading2"/>
        <w:spacing w:after="150" w:before="300"/>
      </w:pPr>
      <w:r>
        <w:t xml:space="preserve">9. Próximos passos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1. Giuliano aprova público, segmentação por cluster, orçamento e legenda.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2. Subir a campanha com a estrutura da seção 2, usando os pins da seção 3.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3. Rodar os 15 dias sem mexer (evitar reiniciar aprendizado do Meta).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4. Ao final, comparar resultado real com os 3 cenários da seção 6, e decidir sobre aumento de verba com base em custo por conversa qualificada, não só custo por conversa iniciada.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/>
    </w:pPr>
    <w:rPr>
      <w:b/>
      <w:bCs/>
      <w:color w:val="1c2b4a"/>
      <w:sz w:val="32"/>
      <w:szCs w:val="32"/>
    </w:rPr>
  </w:style>
  <w:style w:type="paragraph" w:styleId="Heading2">
    <w:name w:val="Heading 2"/>
    <w:basedOn w:val="Normal"/>
    <w:next w:val="Normal"/>
    <w:pPr>
      <w:spacing w:after="150" w:before="300"/>
    </w:pPr>
    <w:rPr>
      <w:b/>
      <w:bCs/>
      <w:color w:val="1c2b4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2026-09-15T12:27:32.582Z</dcterms:created>
  <dcterms:modified xsi:type="dcterms:W3CDTF">2026-09-15T12:27:32.583Z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