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Sugestões de análises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Como a taxa de leitura varia por escolaridade?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Usando a tabela escolaridade_df, ordene os níveis de ensino e apresente a tendência da taxa de leitura (%). Calcule também a média e desvio padrão dos percentuais.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Tabela ordenada por nível de 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escolaridade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percent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ual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Fundamental I     40.0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Fundamental II     49.0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Ensino Médio     48.0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Superior         63.0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Tendência: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percentual de leitura aumenta com o nível de escolaridade.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Média dos percentuais: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50.00%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Desvio padrão: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≈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9.56%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taxa de leitura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tende a subir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conforme o nível de escolaridade aumenta, mas há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variabilidade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Os dados apontam que a formação acadêmica avançada pode impactar fortemente os hábitos de leitura.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Qual a relação entre classe social e taxa de leitura?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Com base em classe_df, analise os percentuais por classe (A, B, C, D/E), apresentando média, mínimo, máximo e desvio padrão. Comente se há uma queda progressiva ou pontos fora do padrão.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6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"/>
        <w:gridCol w:w="1790"/>
        <w:tblGridChange w:id="0">
          <w:tblGrid>
            <w:gridCol w:w="890"/>
            <w:gridCol w:w="17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Classe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Percentual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</w:tr>
      <w:tr>
        <w:trPr>
          <w:cantSplit w:val="0"/>
          <w:trHeight w:val="63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D/E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Média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50.75%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Mínimo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35%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Máximo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62%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Desvio padrão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: ≈ 12.25%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Há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queda progressiva clara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percentual de leitores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conforme a classe social diminui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são os principais motivos declarados para ler?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A partir de motivacao_df, liste os 3 motivos mais citados. Calcule a frequência relativa acumulada dos cinco primeiros e comente sobre a concentração dos motivos.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6.6977062649778"/>
        <w:gridCol w:w="5390.781239301609"/>
        <w:gridCol w:w="1299.8699075659022"/>
        <w:gridCol w:w="1388.1629578911334"/>
        <w:tblGridChange w:id="0">
          <w:tblGrid>
            <w:gridCol w:w="946.6977062649778"/>
            <w:gridCol w:w="5390.781239301609"/>
            <w:gridCol w:w="1299.8699075659022"/>
            <w:gridCol w:w="1388.162957891133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Ordem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Motivação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Acumulada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Gosto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cultural ou Conhecimento geral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Crescimento pessoal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67%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Aprender algo novo ou desenvolver alguma habilidade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77%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Frequência relativa acumulada dos cinco primeiros: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77%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Isso indica que a leitura é impulsionada majoritariamente por razões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pessoais e culturais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como prazer, distração e crescimento, com motivos profissionais e escolares aparecendo bem abaixo. Há uma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clara preferência por motivações internas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voluntárias, reforçando o papel da leitura como atividade de valor pessoal.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Quais são as principais atividades de tempo livre segundo o nível de escolaridade?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→ Usando TempoLivre_df, selecione as 5 atividades com maiores percentuais na coluna Superior e compare com a coluna Fundamental I. Apresente a diferença percentual entre os dois extremos.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8.402766800108"/>
        <w:gridCol w:w="1562.2019900795092"/>
        <w:gridCol w:w="2164.555735470668"/>
        <w:gridCol w:w="1650.3513186733376"/>
        <w:tblGridChange w:id="0">
          <w:tblGrid>
            <w:gridCol w:w="3648.402766800108"/>
            <w:gridCol w:w="1562.2019900795092"/>
            <w:gridCol w:w="2164.555735470668"/>
            <w:gridCol w:w="1650.35131867333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Superior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Fundamental I 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Diferença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 a Internet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 WhatsApp ou Telegram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 Facebook, Twitter ou Instagram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Assiste vídeos ou filmes em casa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Escuta música ou rádio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Conclusão: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Pessoas com nível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Superior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têm uma adesão muito maior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tecnologias digitais e redes sociais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que pessoas com apenas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Fundamental I no tempo livre.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